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F3E" w:rsidRPr="00EF7F3E" w:rsidRDefault="00EF7F3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F7F3E">
        <w:rPr>
          <w:rFonts w:ascii="Times New Roman" w:hAnsi="Times New Roman" w:cs="Times New Roman"/>
          <w:sz w:val="24"/>
          <w:szCs w:val="24"/>
        </w:rPr>
        <w:t>ВЕРХОВНЫЙ СУД РОССИЙСКОЙ ФЕДЕРАЦИИ</w:t>
      </w:r>
    </w:p>
    <w:p w:rsidR="00EF7F3E" w:rsidRPr="00EF7F3E" w:rsidRDefault="00EF7F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7F3E" w:rsidRPr="00EF7F3E" w:rsidRDefault="00EF7F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7F3E">
        <w:rPr>
          <w:rFonts w:ascii="Times New Roman" w:hAnsi="Times New Roman" w:cs="Times New Roman"/>
          <w:sz w:val="24"/>
          <w:szCs w:val="24"/>
        </w:rPr>
        <w:t>ОПРЕДЕЛЕНИЕ</w:t>
      </w:r>
    </w:p>
    <w:p w:rsidR="00EF7F3E" w:rsidRPr="00EF7F3E" w:rsidRDefault="00EF7F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7F3E">
        <w:rPr>
          <w:rFonts w:ascii="Times New Roman" w:hAnsi="Times New Roman" w:cs="Times New Roman"/>
          <w:sz w:val="24"/>
          <w:szCs w:val="24"/>
        </w:rPr>
        <w:t xml:space="preserve">от 18 октября 2021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F7F3E">
        <w:rPr>
          <w:rFonts w:ascii="Times New Roman" w:hAnsi="Times New Roman" w:cs="Times New Roman"/>
          <w:sz w:val="24"/>
          <w:szCs w:val="24"/>
        </w:rPr>
        <w:t xml:space="preserve"> 304-ЭС21-18549</w:t>
      </w:r>
    </w:p>
    <w:p w:rsidR="00EF7F3E" w:rsidRPr="00EF7F3E" w:rsidRDefault="00EF7F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7F3E" w:rsidRPr="00EF7F3E" w:rsidRDefault="00EF7F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F3E">
        <w:rPr>
          <w:rFonts w:ascii="Times New Roman" w:hAnsi="Times New Roman" w:cs="Times New Roman"/>
          <w:sz w:val="24"/>
          <w:szCs w:val="24"/>
        </w:rPr>
        <w:t xml:space="preserve">Судья Верховного Суда Российской Федерации Пронина М.В., рассмотрев кассационную жалобу казенного учреждения Ханты-Мансийского автономного округа - Югры "Управление капитального строительства" на решение Арбитражного суда Ханты-Мансийского автономного округа - Югры от 01.02.2021 по делу N А75-13676/2020, </w:t>
      </w:r>
      <w:hyperlink r:id="rId4" w:history="1">
        <w:r w:rsidRPr="00EF7F3E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EF7F3E">
        <w:rPr>
          <w:rFonts w:ascii="Times New Roman" w:hAnsi="Times New Roman" w:cs="Times New Roman"/>
          <w:sz w:val="24"/>
          <w:szCs w:val="24"/>
        </w:rPr>
        <w:t xml:space="preserve"> Восьмого арбитражного апелляционного суда от 19.04.2021 и </w:t>
      </w:r>
      <w:hyperlink r:id="rId5" w:history="1">
        <w:r w:rsidRPr="00EF7F3E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EF7F3E">
        <w:rPr>
          <w:rFonts w:ascii="Times New Roman" w:hAnsi="Times New Roman" w:cs="Times New Roman"/>
          <w:sz w:val="24"/>
          <w:szCs w:val="24"/>
        </w:rPr>
        <w:t xml:space="preserve"> Арбитражного суда Западно-Сибирского округа от 20.07.2021 по тому же делу</w:t>
      </w:r>
    </w:p>
    <w:p w:rsidR="00EF7F3E" w:rsidRPr="00EF7F3E" w:rsidRDefault="00EF7F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F3E">
        <w:rPr>
          <w:rFonts w:ascii="Times New Roman" w:hAnsi="Times New Roman" w:cs="Times New Roman"/>
          <w:sz w:val="24"/>
          <w:szCs w:val="24"/>
        </w:rPr>
        <w:t>по иску общества с ограниченной ответственностью "</w:t>
      </w:r>
      <w:proofErr w:type="spellStart"/>
      <w:r w:rsidRPr="00EF7F3E">
        <w:rPr>
          <w:rFonts w:ascii="Times New Roman" w:hAnsi="Times New Roman" w:cs="Times New Roman"/>
          <w:sz w:val="24"/>
          <w:szCs w:val="24"/>
        </w:rPr>
        <w:t>Хеликс</w:t>
      </w:r>
      <w:proofErr w:type="spellEnd"/>
      <w:r w:rsidRPr="00EF7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F3E">
        <w:rPr>
          <w:rFonts w:ascii="Times New Roman" w:hAnsi="Times New Roman" w:cs="Times New Roman"/>
          <w:sz w:val="24"/>
          <w:szCs w:val="24"/>
        </w:rPr>
        <w:t>Медикал</w:t>
      </w:r>
      <w:proofErr w:type="spellEnd"/>
      <w:r w:rsidRPr="00EF7F3E">
        <w:rPr>
          <w:rFonts w:ascii="Times New Roman" w:hAnsi="Times New Roman" w:cs="Times New Roman"/>
          <w:sz w:val="24"/>
          <w:szCs w:val="24"/>
        </w:rPr>
        <w:t>" (далее - общество) к казенному учреждению Ханты-Мансийского автономного округа - Югры "Управление капитального строительства" (далее - учреждение) о взыскании 1 925 891 руб. 39 коп., в том числе убытков в размере 1 825 891 руб. 39 коп., связанных с хранением оборудования, штрафа в размере 100 000 руб. за ненадлежащее исполнение обязательств, установленных государственным контрактом,</w:t>
      </w:r>
    </w:p>
    <w:p w:rsidR="00EF7F3E" w:rsidRPr="00EF7F3E" w:rsidRDefault="00EF7F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F7F3E" w:rsidRPr="00EF7F3E" w:rsidRDefault="00EF7F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7F3E">
        <w:rPr>
          <w:rFonts w:ascii="Times New Roman" w:hAnsi="Times New Roman" w:cs="Times New Roman"/>
          <w:sz w:val="24"/>
          <w:szCs w:val="24"/>
        </w:rPr>
        <w:t>установила:</w:t>
      </w:r>
    </w:p>
    <w:p w:rsidR="00EF7F3E" w:rsidRPr="00EF7F3E" w:rsidRDefault="00EF7F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F7F3E" w:rsidRPr="00EF7F3E" w:rsidRDefault="00EF7F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F3E">
        <w:rPr>
          <w:rFonts w:ascii="Times New Roman" w:hAnsi="Times New Roman" w:cs="Times New Roman"/>
          <w:sz w:val="24"/>
          <w:szCs w:val="24"/>
        </w:rPr>
        <w:t xml:space="preserve">решением Арбитражного суда Ханты-Мансийского автономного округа - Югры от 01.02.2021, оставленным без изменения </w:t>
      </w:r>
      <w:hyperlink r:id="rId6" w:history="1">
        <w:r w:rsidRPr="00EF7F3E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EF7F3E">
        <w:rPr>
          <w:rFonts w:ascii="Times New Roman" w:hAnsi="Times New Roman" w:cs="Times New Roman"/>
          <w:sz w:val="24"/>
          <w:szCs w:val="24"/>
        </w:rPr>
        <w:t xml:space="preserve"> Восьмого арбитражного апелляционного суда от 19.04.2021 и </w:t>
      </w:r>
      <w:hyperlink r:id="rId7" w:history="1">
        <w:r w:rsidRPr="00EF7F3E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EF7F3E">
        <w:rPr>
          <w:rFonts w:ascii="Times New Roman" w:hAnsi="Times New Roman" w:cs="Times New Roman"/>
          <w:sz w:val="24"/>
          <w:szCs w:val="24"/>
        </w:rPr>
        <w:t xml:space="preserve"> Арбитражного суда Западно-Сибирского округа от 20.07.2021, исковые требования удовлетворены.</w:t>
      </w:r>
    </w:p>
    <w:p w:rsidR="00EF7F3E" w:rsidRPr="00EF7F3E" w:rsidRDefault="00EF7F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F3E">
        <w:rPr>
          <w:rFonts w:ascii="Times New Roman" w:hAnsi="Times New Roman" w:cs="Times New Roman"/>
          <w:sz w:val="24"/>
          <w:szCs w:val="24"/>
        </w:rPr>
        <w:t>В кассационной жалобе, поданной в Верховный Суд Российской Федерации, учреждение просит отменить состоявшиеся судебные акты, ссылаясь на существенные нарушения норм материального права и несоответствие выводов судов фактическим обстоятельствам дела.</w:t>
      </w:r>
    </w:p>
    <w:p w:rsidR="00EF7F3E" w:rsidRPr="00EF7F3E" w:rsidRDefault="00EF7F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F3E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8" w:history="1">
        <w:r w:rsidRPr="00EF7F3E">
          <w:rPr>
            <w:rFonts w:ascii="Times New Roman" w:hAnsi="Times New Roman" w:cs="Times New Roman"/>
            <w:sz w:val="24"/>
            <w:szCs w:val="24"/>
          </w:rPr>
          <w:t>пункту 1 части 7 статьи 291.6</w:t>
        </w:r>
      </w:hyperlink>
      <w:r w:rsidRPr="00EF7F3E">
        <w:rPr>
          <w:rFonts w:ascii="Times New Roman" w:hAnsi="Times New Roman" w:cs="Times New Roman"/>
          <w:sz w:val="24"/>
          <w:szCs w:val="24"/>
        </w:rPr>
        <w:t xml:space="preserve"> Арбитражного процессуального кодекса Российской Федерации по результатам изучения кассационной жалобы, представления судья Верховного Суда Российской Федерации выносит определение об отказе в передаче кассационных жалоб, представления для рассмотрения в судебном заседании Судебной коллегии Верховного Суда Российской Федерации, если изложенные в кассационных жалобах, представлении доводы не подтверждают существенных нарушений норм материального права и (или) норм процессуального права, повлиявших на исход дела, и не являются достаточным основанием для пересмотра судебных актов в кассационном порядке и (или) для решения вопроса о присуждении компенсации за нарушение права на судопроизводство в разумный срок, а также если указанные доводы не находят подтверждения в материалах дела.</w:t>
      </w:r>
    </w:p>
    <w:p w:rsidR="00EF7F3E" w:rsidRPr="00EF7F3E" w:rsidRDefault="00EF7F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F3E">
        <w:rPr>
          <w:rFonts w:ascii="Times New Roman" w:hAnsi="Times New Roman" w:cs="Times New Roman"/>
          <w:sz w:val="24"/>
          <w:szCs w:val="24"/>
        </w:rPr>
        <w:t>Основания для пересмотра обжалуемых судебных актов в кассационном порядке по доводам жалобы отсутствуют.</w:t>
      </w:r>
    </w:p>
    <w:p w:rsidR="00EF7F3E" w:rsidRPr="00EF7F3E" w:rsidRDefault="00EF7F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F3E">
        <w:rPr>
          <w:rFonts w:ascii="Times New Roman" w:hAnsi="Times New Roman" w:cs="Times New Roman"/>
          <w:sz w:val="24"/>
          <w:szCs w:val="24"/>
        </w:rPr>
        <w:t>Как следует из судебных актов, между учреждением (заказчиком) и обществом (поставщиком) заключен контракт от 29.11.2018 N 0187200001718001149-0059973-02 на поставку медицинских изделий - томографа магнитно-резонансного для объекта, ввод в эксплуатацию медицинских изделий, обучение правилам эксплуатации специалистов, эксплуатирующих медицинские изделия (ИКЗ 18 28601020302860101001 0146 001 2660 414).</w:t>
      </w:r>
    </w:p>
    <w:p w:rsidR="00EF7F3E" w:rsidRPr="00EF7F3E" w:rsidRDefault="00EF7F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F3E">
        <w:rPr>
          <w:rFonts w:ascii="Times New Roman" w:hAnsi="Times New Roman" w:cs="Times New Roman"/>
          <w:sz w:val="24"/>
          <w:szCs w:val="24"/>
        </w:rPr>
        <w:lastRenderedPageBreak/>
        <w:t>Пунктами 3.3.2, 3.3.3 контракта установлена обязанность заказчика обеспечить условия для оказания поставщиком услуг по сборке, установке, монтажу и вводу в эксплуатацию оборудования, в том числе подготовку помещения или места эксплуатации в соответствии с требованиями документации производителя (изготовителя) оборудования.</w:t>
      </w:r>
    </w:p>
    <w:p w:rsidR="00EF7F3E" w:rsidRPr="00EF7F3E" w:rsidRDefault="00EF7F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F3E">
        <w:rPr>
          <w:rFonts w:ascii="Times New Roman" w:hAnsi="Times New Roman" w:cs="Times New Roman"/>
          <w:sz w:val="24"/>
          <w:szCs w:val="24"/>
        </w:rPr>
        <w:t>Письмом от 25.12.2018 N 7 общество уведомило учреждение о предстоящей отгрузке оборудования 28.12.2018, однако к указанному сроку помещение для установки оборудования не было подготовлено заказчиком.</w:t>
      </w:r>
    </w:p>
    <w:p w:rsidR="00EF7F3E" w:rsidRPr="00EF7F3E" w:rsidRDefault="00EF7F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F3E">
        <w:rPr>
          <w:rFonts w:ascii="Times New Roman" w:hAnsi="Times New Roman" w:cs="Times New Roman"/>
          <w:sz w:val="24"/>
          <w:szCs w:val="24"/>
        </w:rPr>
        <w:t>Письмом от 28.10.2019 N 3955 ответчик уведомил истца о готовности помещения и времени приемки помещения.</w:t>
      </w:r>
    </w:p>
    <w:p w:rsidR="00EF7F3E" w:rsidRPr="00EF7F3E" w:rsidRDefault="00EF7F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F3E">
        <w:rPr>
          <w:rFonts w:ascii="Times New Roman" w:hAnsi="Times New Roman" w:cs="Times New Roman"/>
          <w:sz w:val="24"/>
          <w:szCs w:val="24"/>
        </w:rPr>
        <w:t>Акт проверки готовности к монтажным и пусконаладочным работам оборудования, свидетельствующий об окончании подготовки помещения учреждением, подписан 29.10.2019.</w:t>
      </w:r>
    </w:p>
    <w:p w:rsidR="00EF7F3E" w:rsidRPr="00EF7F3E" w:rsidRDefault="00EF7F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F3E">
        <w:rPr>
          <w:rFonts w:ascii="Times New Roman" w:hAnsi="Times New Roman" w:cs="Times New Roman"/>
          <w:sz w:val="24"/>
          <w:szCs w:val="24"/>
        </w:rPr>
        <w:t>Согласно подписанному сторонами акту приема-передачи от 25.12.2019 оборудование по контракту поставлено. Поставщиком осуществлена сборка, установка и ввод в эксплуатацию, а заказчиком принято оборудование 25.12.2019.</w:t>
      </w:r>
    </w:p>
    <w:p w:rsidR="00EF7F3E" w:rsidRPr="00EF7F3E" w:rsidRDefault="00EF7F3E">
      <w:pPr>
        <w:pStyle w:val="ConsPlusNormal"/>
        <w:spacing w:before="22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F7F3E">
        <w:rPr>
          <w:rFonts w:ascii="Times New Roman" w:hAnsi="Times New Roman" w:cs="Times New Roman"/>
          <w:sz w:val="24"/>
          <w:szCs w:val="24"/>
        </w:rPr>
        <w:t>Обращаясь в арбитражный суд с настоящими требованиями, общество указало на нарушение учреждением условий контракта по надлежащей подготовке помещения для установки оборудования и невозможности его принятия в установленный контрактом срок, вследствие чего поставщик вынужден был осуществлять хранение оборудования в специализированных условиях за счет собственных средств.</w:t>
      </w:r>
    </w:p>
    <w:p w:rsidR="00EF7F3E" w:rsidRPr="00EF7F3E" w:rsidRDefault="00EF7F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F3E">
        <w:rPr>
          <w:rFonts w:ascii="Times New Roman" w:hAnsi="Times New Roman" w:cs="Times New Roman"/>
          <w:sz w:val="24"/>
          <w:szCs w:val="24"/>
        </w:rPr>
        <w:t>Суды, оценив представленные в материалы дела доказательства, в том числе условия заключенного между сторонами контракта, договоры хранения медицинского оборудования от 20.03.2019 N 20-01/03-19, 20-02/03-19, заключенные с обществом с ограниченной ответственностью "</w:t>
      </w:r>
      <w:proofErr w:type="spellStart"/>
      <w:r w:rsidRPr="00EF7F3E">
        <w:rPr>
          <w:rFonts w:ascii="Times New Roman" w:hAnsi="Times New Roman" w:cs="Times New Roman"/>
          <w:sz w:val="24"/>
          <w:szCs w:val="24"/>
        </w:rPr>
        <w:t>МедЛайн</w:t>
      </w:r>
      <w:proofErr w:type="spellEnd"/>
      <w:r w:rsidRPr="00EF7F3E">
        <w:rPr>
          <w:rFonts w:ascii="Times New Roman" w:hAnsi="Times New Roman" w:cs="Times New Roman"/>
          <w:sz w:val="24"/>
          <w:szCs w:val="24"/>
        </w:rPr>
        <w:t xml:space="preserve">", акты приема-передачи оборудования от 20.03.2019, акты возврата медоборудования с хранения от 15.08.2019, от 18.11.2019, платежные поручения, руководствуясь положениями </w:t>
      </w:r>
      <w:hyperlink r:id="rId9" w:history="1">
        <w:r w:rsidRPr="00EF7F3E">
          <w:rPr>
            <w:rFonts w:ascii="Times New Roman" w:hAnsi="Times New Roman" w:cs="Times New Roman"/>
            <w:sz w:val="24"/>
            <w:szCs w:val="24"/>
          </w:rPr>
          <w:t>статей 8</w:t>
        </w:r>
      </w:hyperlink>
      <w:r w:rsidRPr="00EF7F3E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EF7F3E">
          <w:rPr>
            <w:rFonts w:ascii="Times New Roman" w:hAnsi="Times New Roman" w:cs="Times New Roman"/>
            <w:sz w:val="24"/>
            <w:szCs w:val="24"/>
          </w:rPr>
          <w:t>12</w:t>
        </w:r>
      </w:hyperlink>
      <w:r w:rsidRPr="00EF7F3E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EF7F3E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EF7F3E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EF7F3E">
          <w:rPr>
            <w:rFonts w:ascii="Times New Roman" w:hAnsi="Times New Roman" w:cs="Times New Roman"/>
            <w:sz w:val="24"/>
            <w:szCs w:val="24"/>
          </w:rPr>
          <w:t>307</w:t>
        </w:r>
      </w:hyperlink>
      <w:r w:rsidRPr="00EF7F3E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EF7F3E">
          <w:rPr>
            <w:rFonts w:ascii="Times New Roman" w:hAnsi="Times New Roman" w:cs="Times New Roman"/>
            <w:sz w:val="24"/>
            <w:szCs w:val="24"/>
          </w:rPr>
          <w:t>309</w:t>
        </w:r>
      </w:hyperlink>
      <w:r w:rsidRPr="00EF7F3E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EF7F3E">
          <w:rPr>
            <w:rFonts w:ascii="Times New Roman" w:hAnsi="Times New Roman" w:cs="Times New Roman"/>
            <w:sz w:val="24"/>
            <w:szCs w:val="24"/>
          </w:rPr>
          <w:t>310</w:t>
        </w:r>
      </w:hyperlink>
      <w:r w:rsidRPr="00EF7F3E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EF7F3E">
          <w:rPr>
            <w:rFonts w:ascii="Times New Roman" w:hAnsi="Times New Roman" w:cs="Times New Roman"/>
            <w:sz w:val="24"/>
            <w:szCs w:val="24"/>
          </w:rPr>
          <w:t>393</w:t>
        </w:r>
      </w:hyperlink>
      <w:r w:rsidRPr="00EF7F3E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EF7F3E">
          <w:rPr>
            <w:rFonts w:ascii="Times New Roman" w:hAnsi="Times New Roman" w:cs="Times New Roman"/>
            <w:sz w:val="24"/>
            <w:szCs w:val="24"/>
          </w:rPr>
          <w:t>401</w:t>
        </w:r>
      </w:hyperlink>
      <w:r w:rsidRPr="00EF7F3E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EF7F3E">
          <w:rPr>
            <w:rFonts w:ascii="Times New Roman" w:hAnsi="Times New Roman" w:cs="Times New Roman"/>
            <w:sz w:val="24"/>
            <w:szCs w:val="24"/>
          </w:rPr>
          <w:t>405</w:t>
        </w:r>
      </w:hyperlink>
      <w:r w:rsidRPr="00EF7F3E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EF7F3E">
          <w:rPr>
            <w:rFonts w:ascii="Times New Roman" w:hAnsi="Times New Roman" w:cs="Times New Roman"/>
            <w:sz w:val="24"/>
            <w:szCs w:val="24"/>
          </w:rPr>
          <w:t>506</w:t>
        </w:r>
      </w:hyperlink>
      <w:r w:rsidRPr="00EF7F3E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EF7F3E">
          <w:rPr>
            <w:rFonts w:ascii="Times New Roman" w:hAnsi="Times New Roman" w:cs="Times New Roman"/>
            <w:sz w:val="24"/>
            <w:szCs w:val="24"/>
          </w:rPr>
          <w:t>525</w:t>
        </w:r>
      </w:hyperlink>
      <w:r w:rsidRPr="00EF7F3E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EF7F3E">
          <w:rPr>
            <w:rFonts w:ascii="Times New Roman" w:hAnsi="Times New Roman" w:cs="Times New Roman"/>
            <w:sz w:val="24"/>
            <w:szCs w:val="24"/>
          </w:rPr>
          <w:t>526</w:t>
        </w:r>
      </w:hyperlink>
      <w:r w:rsidRPr="00EF7F3E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EF7F3E">
          <w:rPr>
            <w:rFonts w:ascii="Times New Roman" w:hAnsi="Times New Roman" w:cs="Times New Roman"/>
            <w:sz w:val="24"/>
            <w:szCs w:val="24"/>
          </w:rPr>
          <w:t>533</w:t>
        </w:r>
      </w:hyperlink>
      <w:r w:rsidRPr="00EF7F3E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EF7F3E">
          <w:rPr>
            <w:rFonts w:ascii="Times New Roman" w:hAnsi="Times New Roman" w:cs="Times New Roman"/>
            <w:sz w:val="24"/>
            <w:szCs w:val="24"/>
          </w:rPr>
          <w:t>763</w:t>
        </w:r>
      </w:hyperlink>
      <w:r w:rsidRPr="00EF7F3E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Федерального </w:t>
      </w:r>
      <w:hyperlink r:id="rId23" w:history="1">
        <w:r w:rsidRPr="00EF7F3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EF7F3E">
        <w:rPr>
          <w:rFonts w:ascii="Times New Roman" w:hAnsi="Times New Roman" w:cs="Times New Roman"/>
          <w:sz w:val="24"/>
          <w:szCs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нужд", разъяснениями, изложенными в </w:t>
      </w:r>
      <w:hyperlink r:id="rId24" w:history="1">
        <w:r w:rsidRPr="00EF7F3E">
          <w:rPr>
            <w:rFonts w:ascii="Times New Roman" w:hAnsi="Times New Roman" w:cs="Times New Roman"/>
            <w:sz w:val="24"/>
            <w:szCs w:val="24"/>
          </w:rPr>
          <w:t>постановлении</w:t>
        </w:r>
      </w:hyperlink>
      <w:r w:rsidRPr="00EF7F3E">
        <w:rPr>
          <w:rFonts w:ascii="Times New Roman" w:hAnsi="Times New Roman" w:cs="Times New Roman"/>
          <w:sz w:val="24"/>
          <w:szCs w:val="24"/>
        </w:rPr>
        <w:t xml:space="preserve"> Пленума Верховного Суда Российской Федерации от 23.06.2015 N 25 "О применении судами некоторых положений раздела I части первой Гражданского кодекса Российской Федерации", </w:t>
      </w:r>
      <w:hyperlink r:id="rId25" w:history="1">
        <w:r w:rsidRPr="00EF7F3E">
          <w:rPr>
            <w:rFonts w:ascii="Times New Roman" w:hAnsi="Times New Roman" w:cs="Times New Roman"/>
            <w:sz w:val="24"/>
            <w:szCs w:val="24"/>
          </w:rPr>
          <w:t>постановлении</w:t>
        </w:r>
      </w:hyperlink>
      <w:r w:rsidRPr="00EF7F3E">
        <w:rPr>
          <w:rFonts w:ascii="Times New Roman" w:hAnsi="Times New Roman" w:cs="Times New Roman"/>
          <w:sz w:val="24"/>
          <w:szCs w:val="24"/>
        </w:rPr>
        <w:t xml:space="preserve"> Пленума Верховного Суда Российской Федерации от 24.03.2016 N 7 "О применении судами некоторых положений Гражданского кодекса Российской Федерации об ответственности за нарушение обязательств", пришли к выводу о наличии оснований для взыскания в пользу общества заявленной суммы убытков, а также наличии оснований для взыскания штрафных санкций.</w:t>
      </w:r>
    </w:p>
    <w:p w:rsidR="00EF7F3E" w:rsidRPr="00EF7F3E" w:rsidRDefault="00EF7F3E">
      <w:pPr>
        <w:pStyle w:val="ConsPlusNormal"/>
        <w:spacing w:before="22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F7F3E">
        <w:rPr>
          <w:rFonts w:ascii="Times New Roman" w:hAnsi="Times New Roman" w:cs="Times New Roman"/>
          <w:sz w:val="24"/>
          <w:szCs w:val="24"/>
        </w:rPr>
        <w:t xml:space="preserve">Суды исходили из доказанности обществом факта поставки товара заказчику в пределах срока исполнения своих обязательств по контракту, ненадлежащего исполнения учреждением обязательств по контракту, выразившихся в </w:t>
      </w:r>
      <w:proofErr w:type="spellStart"/>
      <w:r w:rsidRPr="00EF7F3E">
        <w:rPr>
          <w:rFonts w:ascii="Times New Roman" w:hAnsi="Times New Roman" w:cs="Times New Roman"/>
          <w:sz w:val="24"/>
          <w:szCs w:val="24"/>
        </w:rPr>
        <w:t>неподготовке</w:t>
      </w:r>
      <w:proofErr w:type="spellEnd"/>
      <w:r w:rsidRPr="00EF7F3E">
        <w:rPr>
          <w:rFonts w:ascii="Times New Roman" w:hAnsi="Times New Roman" w:cs="Times New Roman"/>
          <w:sz w:val="24"/>
          <w:szCs w:val="24"/>
        </w:rPr>
        <w:t xml:space="preserve"> в установленный контрактом срок помещения для установки оборудования, </w:t>
      </w:r>
      <w:proofErr w:type="spellStart"/>
      <w:r w:rsidRPr="00EF7F3E">
        <w:rPr>
          <w:rFonts w:ascii="Times New Roman" w:hAnsi="Times New Roman" w:cs="Times New Roman"/>
          <w:sz w:val="24"/>
          <w:szCs w:val="24"/>
        </w:rPr>
        <w:t>подтвержденности</w:t>
      </w:r>
      <w:proofErr w:type="spellEnd"/>
      <w:r w:rsidRPr="00EF7F3E">
        <w:rPr>
          <w:rFonts w:ascii="Times New Roman" w:hAnsi="Times New Roman" w:cs="Times New Roman"/>
          <w:sz w:val="24"/>
          <w:szCs w:val="24"/>
        </w:rPr>
        <w:t xml:space="preserve"> факта несения обществом расходов на хранение оборудования в период с 20.03.2019 по 18.11.2019 в сумме 1 825 891 руб. 39 коп., наличия вины учреждения и причинно-следственной связи между действиями (бездействием) ответчика и понесенными на хранение имущества затратами.</w:t>
      </w:r>
    </w:p>
    <w:p w:rsidR="00EF7F3E" w:rsidRPr="00EF7F3E" w:rsidRDefault="00EF7F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F3E">
        <w:rPr>
          <w:rFonts w:ascii="Times New Roman" w:hAnsi="Times New Roman" w:cs="Times New Roman"/>
          <w:sz w:val="24"/>
          <w:szCs w:val="24"/>
        </w:rPr>
        <w:t xml:space="preserve">При этом суды признали отсутствие оснований, которые бы освобождали учреждение </w:t>
      </w:r>
      <w:r w:rsidRPr="00EF7F3E">
        <w:rPr>
          <w:rFonts w:ascii="Times New Roman" w:hAnsi="Times New Roman" w:cs="Times New Roman"/>
          <w:sz w:val="24"/>
          <w:szCs w:val="24"/>
        </w:rPr>
        <w:lastRenderedPageBreak/>
        <w:t>от исполнения договорных обязательств.</w:t>
      </w:r>
    </w:p>
    <w:p w:rsidR="00EF7F3E" w:rsidRPr="00EF7F3E" w:rsidRDefault="00EF7F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F3E">
        <w:rPr>
          <w:rFonts w:ascii="Times New Roman" w:hAnsi="Times New Roman" w:cs="Times New Roman"/>
          <w:sz w:val="24"/>
          <w:szCs w:val="24"/>
        </w:rPr>
        <w:t>Доводы, изложенные в кассационной жалобе, в том числе о наличии вины общества в несвоевременном исполнении заказчиком условий контракта, повторяют позицию учреждения по спору и не опровергают выводы судов, основанные на правильном применении норм права и установленных обстоятельствах дела.</w:t>
      </w:r>
    </w:p>
    <w:p w:rsidR="00EF7F3E" w:rsidRPr="00EF7F3E" w:rsidRDefault="00EF7F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F3E">
        <w:rPr>
          <w:rFonts w:ascii="Times New Roman" w:hAnsi="Times New Roman" w:cs="Times New Roman"/>
          <w:sz w:val="24"/>
          <w:szCs w:val="24"/>
        </w:rPr>
        <w:t xml:space="preserve">Несогласие учреждения с выводами судов, иная оценка им фактических обстоятельств дела и иное применение к ним положений закона не означают допущенной при рассмотрении дела судебной ошибки и в силу </w:t>
      </w:r>
      <w:hyperlink r:id="rId26" w:history="1">
        <w:r w:rsidRPr="00EF7F3E">
          <w:rPr>
            <w:rFonts w:ascii="Times New Roman" w:hAnsi="Times New Roman" w:cs="Times New Roman"/>
            <w:sz w:val="24"/>
            <w:szCs w:val="24"/>
          </w:rPr>
          <w:t>статьи 291.6</w:t>
        </w:r>
      </w:hyperlink>
      <w:r w:rsidRPr="00EF7F3E">
        <w:rPr>
          <w:rFonts w:ascii="Times New Roman" w:hAnsi="Times New Roman" w:cs="Times New Roman"/>
          <w:sz w:val="24"/>
          <w:szCs w:val="24"/>
        </w:rPr>
        <w:t xml:space="preserve"> Арбитражного процессуального кодекса Российской Федерации не являются основанием для передачи кассационной жалобы на рассмотрение Судебной коллегии Верховного Суда Российской Федерации.</w:t>
      </w:r>
    </w:p>
    <w:p w:rsidR="00EF7F3E" w:rsidRPr="00EF7F3E" w:rsidRDefault="00EF7F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F3E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27" w:history="1">
        <w:r w:rsidRPr="00EF7F3E">
          <w:rPr>
            <w:rFonts w:ascii="Times New Roman" w:hAnsi="Times New Roman" w:cs="Times New Roman"/>
            <w:sz w:val="24"/>
            <w:szCs w:val="24"/>
          </w:rPr>
          <w:t>статьями 291.6</w:t>
        </w:r>
      </w:hyperlink>
      <w:r w:rsidRPr="00EF7F3E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Pr="00EF7F3E">
          <w:rPr>
            <w:rFonts w:ascii="Times New Roman" w:hAnsi="Times New Roman" w:cs="Times New Roman"/>
            <w:sz w:val="24"/>
            <w:szCs w:val="24"/>
          </w:rPr>
          <w:t>291.8</w:t>
        </w:r>
      </w:hyperlink>
      <w:r w:rsidRPr="00EF7F3E">
        <w:rPr>
          <w:rFonts w:ascii="Times New Roman" w:hAnsi="Times New Roman" w:cs="Times New Roman"/>
          <w:sz w:val="24"/>
          <w:szCs w:val="24"/>
        </w:rPr>
        <w:t xml:space="preserve"> Арбитражного процессуального кодекса Российской Федерации,</w:t>
      </w:r>
    </w:p>
    <w:p w:rsidR="00EF7F3E" w:rsidRPr="00EF7F3E" w:rsidRDefault="00EF7F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F7F3E" w:rsidRPr="00EF7F3E" w:rsidRDefault="00EF7F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7F3E">
        <w:rPr>
          <w:rFonts w:ascii="Times New Roman" w:hAnsi="Times New Roman" w:cs="Times New Roman"/>
          <w:sz w:val="24"/>
          <w:szCs w:val="24"/>
        </w:rPr>
        <w:t>определила:</w:t>
      </w:r>
    </w:p>
    <w:p w:rsidR="00EF7F3E" w:rsidRPr="00EF7F3E" w:rsidRDefault="00EF7F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F7F3E" w:rsidRPr="00EF7F3E" w:rsidRDefault="00EF7F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F3E">
        <w:rPr>
          <w:rFonts w:ascii="Times New Roman" w:hAnsi="Times New Roman" w:cs="Times New Roman"/>
          <w:sz w:val="24"/>
          <w:szCs w:val="24"/>
        </w:rPr>
        <w:t>отказать казенному учреждению Ханты-Мансийского автономного округа - Югры "Управление капитального строительства" в передаче кассационной жалобы для рассмотрения в судебном заседании Судебной коллегии по экономическим спорам Верховного Суда Российской Федерации.</w:t>
      </w:r>
    </w:p>
    <w:p w:rsidR="00EF7F3E" w:rsidRPr="00EF7F3E" w:rsidRDefault="00EF7F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7F3E" w:rsidRPr="00EF7F3E" w:rsidRDefault="00EF7F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7F3E">
        <w:rPr>
          <w:rFonts w:ascii="Times New Roman" w:hAnsi="Times New Roman" w:cs="Times New Roman"/>
          <w:sz w:val="24"/>
          <w:szCs w:val="24"/>
        </w:rPr>
        <w:t>Судья Верховного Суда</w:t>
      </w:r>
    </w:p>
    <w:p w:rsidR="00EF7F3E" w:rsidRPr="00EF7F3E" w:rsidRDefault="00EF7F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7F3E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EF7F3E" w:rsidRPr="00EF7F3E" w:rsidRDefault="00EF7F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7F3E">
        <w:rPr>
          <w:rFonts w:ascii="Times New Roman" w:hAnsi="Times New Roman" w:cs="Times New Roman"/>
          <w:sz w:val="24"/>
          <w:szCs w:val="24"/>
        </w:rPr>
        <w:t>М.В.ПРОНИНА</w:t>
      </w:r>
      <w:bookmarkStart w:id="0" w:name="_GoBack"/>
      <w:bookmarkEnd w:id="0"/>
    </w:p>
    <w:sectPr w:rsidR="00EF7F3E" w:rsidRPr="00EF7F3E" w:rsidSect="006C4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3E"/>
    <w:rsid w:val="007F78D3"/>
    <w:rsid w:val="0091478C"/>
    <w:rsid w:val="00CC3128"/>
    <w:rsid w:val="00E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8E39"/>
  <w15:chartTrackingRefBased/>
  <w15:docId w15:val="{0F3E6075-94AD-4B99-A713-1DBCB43A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F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F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F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1C4171A76E81616C61DFA8DE7D6EC2B3C93957FD34898E9C07A6F70F570C933832BAC11550C5ABD27F80EBF16DA74A75741D89B4WBF3I" TargetMode="External"/><Relationship Id="rId13" Type="http://schemas.openxmlformats.org/officeDocument/2006/relationships/hyperlink" Target="consultantplus://offline/ref=891C4171A76E81616C61DFA8DE7D6EC2B3C6315CF932898E9C07A6F70F570C933832BAC71053CBFB833081B7B73EB44973741E89A8B06BC9W4FEI" TargetMode="External"/><Relationship Id="rId18" Type="http://schemas.openxmlformats.org/officeDocument/2006/relationships/hyperlink" Target="consultantplus://offline/ref=891C4171A76E81616C61DFA8DE7D6EC2B3C53056F634898E9C07A6F70F570C933832BAC71052CCFA813081B7B73EB44973741E89A8B06BC9W4FEI" TargetMode="External"/><Relationship Id="rId26" Type="http://schemas.openxmlformats.org/officeDocument/2006/relationships/hyperlink" Target="consultantplus://offline/ref=891C4171A76E81616C61DFA8DE7D6EC2B3C93957FD34898E9C07A6F70F570C933832BAC11456C5ABD27F80EBF16DA74A75741D89B4WBF3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91C4171A76E81616C61DFA8DE7D6EC2B3C53056F634898E9C07A6F70F570C933832BAC71050C6FA8B3081B7B73EB44973741E89A8B06BC9W4FEI" TargetMode="External"/><Relationship Id="rId7" Type="http://schemas.openxmlformats.org/officeDocument/2006/relationships/hyperlink" Target="consultantplus://offline/ref=891C4171A76E81616C61C0B3DA7D6EC2B1C63658F935898E9C07A6F70F570C932A32E2CB1254D0FE8325D7E6F1W6FAI" TargetMode="External"/><Relationship Id="rId12" Type="http://schemas.openxmlformats.org/officeDocument/2006/relationships/hyperlink" Target="consultantplus://offline/ref=891C4171A76E81616C61DFA8DE7D6EC2B3C6315CF932898E9C07A6F70F570C933832BAC71056C6F7886F84A2A666BB4D6B6B1F97B4B269WCFAI" TargetMode="External"/><Relationship Id="rId17" Type="http://schemas.openxmlformats.org/officeDocument/2006/relationships/hyperlink" Target="consultantplus://offline/ref=891C4171A76E81616C61DFA8DE7D6EC2B3C6315CF932898E9C07A6F70F570C933832BAC71053C7FC823081B7B73EB44973741E89A8B06BC9W4FEI" TargetMode="External"/><Relationship Id="rId25" Type="http://schemas.openxmlformats.org/officeDocument/2006/relationships/hyperlink" Target="consultantplus://offline/ref=891C4171A76E81616C61D2BBCB7D6EC2B4C93857F633898E9C07A6F70F570C932A32E2CB1254D0FE8325D7E6F1W6FA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91C4171A76E81616C61DFA8DE7D6EC2B3C6315CF932898E9C07A6F70F570C933832BAC71053C7FE8B3081B7B73EB44973741E89A8B06BC9W4FEI" TargetMode="External"/><Relationship Id="rId20" Type="http://schemas.openxmlformats.org/officeDocument/2006/relationships/hyperlink" Target="consultantplus://offline/ref=891C4171A76E81616C61DFA8DE7D6EC2B3C53056F634898E9C07A6F70F570C933832BAC71050C6FD843081B7B73EB44973741E89A8B06BC9W4FEI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1C4171A76E81616C61C1A8D91530CFB8CA6F53FE3481DCC955A0A050070AC67872BC9241169BF2813DCBE7F375BB4B77W6FBI" TargetMode="External"/><Relationship Id="rId11" Type="http://schemas.openxmlformats.org/officeDocument/2006/relationships/hyperlink" Target="consultantplus://offline/ref=891C4171A76E81616C61DFA8DE7D6EC2B3C6315CF932898E9C07A6F70F570C933832BAC71052CEF6823081B7B73EB44973741E89A8B06BC9W4FEI" TargetMode="External"/><Relationship Id="rId24" Type="http://schemas.openxmlformats.org/officeDocument/2006/relationships/hyperlink" Target="consultantplus://offline/ref=891C4171A76E81616C61D2BBCB7D6EC2B4C33858F83E898E9C07A6F70F570C932A32E2CB1254D0FE8325D7E6F1W6FAI" TargetMode="External"/><Relationship Id="rId5" Type="http://schemas.openxmlformats.org/officeDocument/2006/relationships/hyperlink" Target="consultantplus://offline/ref=891C4171A76E81616C61C0B3DA7D6EC2B1C63658F935898E9C07A6F70F570C932A32E2CB1254D0FE8325D7E6F1W6FAI" TargetMode="External"/><Relationship Id="rId15" Type="http://schemas.openxmlformats.org/officeDocument/2006/relationships/hyperlink" Target="consultantplus://offline/ref=891C4171A76E81616C61DFA8DE7D6EC2B3C6315CF932898E9C07A6F70F570C933832BAC71053C6F78B3081B7B73EB44973741E89A8B06BC9W4FEI" TargetMode="External"/><Relationship Id="rId23" Type="http://schemas.openxmlformats.org/officeDocument/2006/relationships/hyperlink" Target="consultantplus://offline/ref=891C4171A76E81616C61DFA8DE7D6EC2B3C4375EF932898E9C07A6F70F570C932A32E2CB1254D0FE8325D7E6F1W6FAI" TargetMode="External"/><Relationship Id="rId28" Type="http://schemas.openxmlformats.org/officeDocument/2006/relationships/hyperlink" Target="consultantplus://offline/ref=891C4171A76E81616C61DFA8DE7D6EC2B3C93957FD34898E9C07A6F70F570C933832BAC1155AC5ABD27F80EBF16DA74A75741D89B4WBF3I" TargetMode="External"/><Relationship Id="rId10" Type="http://schemas.openxmlformats.org/officeDocument/2006/relationships/hyperlink" Target="consultantplus://offline/ref=891C4171A76E81616C61DFA8DE7D6EC2B3C6315CF932898E9C07A6F70F570C933832BAC71052CEF8823081B7B73EB44973741E89A8B06BC9W4FEI" TargetMode="External"/><Relationship Id="rId19" Type="http://schemas.openxmlformats.org/officeDocument/2006/relationships/hyperlink" Target="consultantplus://offline/ref=891C4171A76E81616C61DFA8DE7D6EC2B3C53056F634898E9C07A6F70F570C933832BAC71050C6FD803081B7B73EB44973741E89A8B06BC9W4FEI" TargetMode="External"/><Relationship Id="rId4" Type="http://schemas.openxmlformats.org/officeDocument/2006/relationships/hyperlink" Target="consultantplus://offline/ref=891C4171A76E81616C61C1A8D91530CFB8CA6F53FE3481DCC955A0A050070AC67872BC9241169BF2813DCBE7F375BB4B77W6FBI" TargetMode="External"/><Relationship Id="rId9" Type="http://schemas.openxmlformats.org/officeDocument/2006/relationships/hyperlink" Target="consultantplus://offline/ref=891C4171A76E81616C61DFA8DE7D6EC2B3C6315CF932898E9C07A6F70F570C933832BAC71052CEFB843081B7B73EB44973741E89A8B06BC9W4FEI" TargetMode="External"/><Relationship Id="rId14" Type="http://schemas.openxmlformats.org/officeDocument/2006/relationships/hyperlink" Target="consultantplus://offline/ref=891C4171A76E81616C61DFA8DE7D6EC2B3C6315CF932898E9C07A6F70F570C933832BAC71057CFFC886F84A2A666BB4D6B6B1F97B4B269WCFAI" TargetMode="External"/><Relationship Id="rId22" Type="http://schemas.openxmlformats.org/officeDocument/2006/relationships/hyperlink" Target="consultantplus://offline/ref=891C4171A76E81616C61DFA8DE7D6EC2B3C53056F634898E9C07A6F70F570C933832BAC71050C6F9843081B7B73EB44973741E89A8B06BC9W4FEI" TargetMode="External"/><Relationship Id="rId27" Type="http://schemas.openxmlformats.org/officeDocument/2006/relationships/hyperlink" Target="consultantplus://offline/ref=891C4171A76E81616C61DFA8DE7D6EC2B3C93957FD34898E9C07A6F70F570C933832BAC11456C5ABD27F80EBF16DA74A75741D89B4WBF3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1685</Words>
  <Characters>9609</Characters>
  <Application>Microsoft Office Word</Application>
  <DocSecurity>0</DocSecurity>
  <Lines>80</Lines>
  <Paragraphs>22</Paragraphs>
  <ScaleCrop>false</ScaleCrop>
  <Company/>
  <LinksUpToDate>false</LinksUpToDate>
  <CharactersWithSpaces>11272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u1510</dc:creator>
  <cp:keywords/>
  <dc:description/>
  <cp:lastModifiedBy>u1510</cp:lastModifiedBy>
  <cp:revision>2</cp:revision>
  <dcterms:created xsi:type="dcterms:W3CDTF">2021-10-26T08:05:00Z</dcterms:created>
  <dcterms:modified xsi:type="dcterms:W3CDTF">2021-10-26T08:09:00Z</dcterms:modified>
</cp:coreProperties>
</file>