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35" w:rsidRPr="002E3F35" w:rsidRDefault="002E3F35" w:rsidP="002E3F35">
      <w:pPr>
        <w:jc w:val="both"/>
        <w:rPr>
          <w:b/>
        </w:rPr>
      </w:pPr>
      <w:bookmarkStart w:id="0" w:name="_GoBack"/>
      <w:bookmarkEnd w:id="0"/>
      <w:r w:rsidRPr="002E3F35">
        <w:rPr>
          <w:b/>
        </w:rPr>
        <w:t>ОБЗОР ИЗМЕНЕНИЙ В ЗАКУПОЧНОМ ЗАКОНОДАТЕЛЬСТВЕ</w:t>
      </w:r>
    </w:p>
    <w:p w:rsidR="002E3F35" w:rsidRPr="002E3F35" w:rsidRDefault="002E3F35" w:rsidP="002E3F35">
      <w:pPr>
        <w:jc w:val="both"/>
        <w:rPr>
          <w:b/>
        </w:rPr>
      </w:pPr>
      <w:r w:rsidRPr="002E3F35">
        <w:rPr>
          <w:b/>
        </w:rPr>
        <w:t>И РАЗЪЯСНЕНИЙ ГОСОРГАНОВ ПО ЗАКУПКАМ</w:t>
      </w:r>
    </w:p>
    <w:p w:rsidR="002E3F35" w:rsidRPr="002E3F35" w:rsidRDefault="002E3F35" w:rsidP="002E3F35">
      <w:pPr>
        <w:jc w:val="both"/>
        <w:rPr>
          <w:b/>
        </w:rPr>
      </w:pPr>
      <w:r w:rsidRPr="002E3F35">
        <w:rPr>
          <w:b/>
        </w:rPr>
        <w:t>В МАРТЕ 2026 ГОДА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</w:p>
    <w:p w:rsidR="002E3F35" w:rsidRPr="002E3F35" w:rsidRDefault="002E3F35" w:rsidP="002E3F35">
      <w:pPr>
        <w:jc w:val="both"/>
        <w:rPr>
          <w:b/>
        </w:rPr>
      </w:pPr>
      <w:r w:rsidRPr="002E3F35">
        <w:rPr>
          <w:b/>
        </w:rPr>
        <w:t>I. Изменения в закупочном законодательстве и разъяснения госорганов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1. Неисключительные права на программное обеспечение признаны товаром при закупках по Закону № 44-ФЗ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Минфин России разъяснил, что при закупке в электронной форме у единственного поставщика по части 12 статьи 93 Закона № 44-ФЗ право на использование программы для ЭВМ и (или) базы данных, включая обновления и дополнительные функциональные возможности, относится к товару. Указанный подход применяется в том числе при предоставлении удаленного доступа через сеть «Интернет».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Письмо Минфина России от 02.03.2026 № 24-06-09/15861 — </w:t>
      </w:r>
      <w:r w:rsidRPr="002E3F35">
        <w:t>https://gkgz.ru/wp-content/uploads/202</w:t>
      </w:r>
      <w:r>
        <w:t>6/03/Minfin-PO-02.03.2026_.pdf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2. Изменено примерное концессионное соглашение в сфере коммунальной инфраструктуры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Правительство Российской Федерации внесло изменения в примерное концессионное соглашение в отношении систем коммунальной инфраструктуры и иных объектов коммунального хозяйства. Изменения затрагивают объекты водоснабжения, теплоснабжения, газо- и энергоснабжения, водоотведения, очистки сточных вод, обращения с отходами, освещения территорий, благоустройства и социального обслуживания населения.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Постановление Правительства Российской Федерации от 04.03.2026 № 221 — </w:t>
      </w:r>
      <w:r w:rsidRPr="002E3F35">
        <w:t>http://publication.pravo.gov.ru/doc</w:t>
      </w:r>
      <w:r>
        <w:t>ument/0001202603040026?index=2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3. Разъяснены особенности изменения условий контракта при казначейском сопровождении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Минфин России подтвердил, что контракт заключается на условиях извещения, а изменение его существенных условий допускается только в случаях, прямо предусмотренных Законом № 44-ФЗ. Также разъяснен вопрос включения сведений о казначейском сопровождении в извещение о закупке.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Письмо Минфина России от 02.03.2026 № 02-12-06/16210 — </w:t>
      </w:r>
      <w:r w:rsidRPr="002E3F35">
        <w:t>https://gkgz.ru/wp-content/uploads/2026/03/Otvet-Minf</w:t>
      </w:r>
      <w:r>
        <w:t>ina-Rossii-ot-02.03.2026-_.pdf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4. Разъяснен вопрос о членстве в СРО при авторском надзоре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Минстрой России указал, что прямого требования о членстве в СРО для выполнения работ по авторскому надзору законодательство не содержит. При этом вопрос о наличии членства может определяться условиями договора сторон.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Письмо Минстроя России от 27.02.2026 № 485-ПОС/18 — </w:t>
      </w:r>
      <w:r w:rsidRPr="002E3F35">
        <w:t>https://gkgz.ru/wp-content/uploads/2026/03/Mins</w:t>
      </w:r>
      <w:r>
        <w:t>troj-pro-avtorskij-nadzor_.pdf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5. Изменены правила запрета продажи маркируемых товаров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Правительство Российской Федерации внесло изменения в постановление № 1944, регулирующее случаи запрета продажи товаров, подлежащих обязательной маркировке средствами идентификации.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Постановление Правительства Российской Федерации от 07.03.2026 № 244 — </w:t>
      </w:r>
      <w:r w:rsidRPr="002E3F35">
        <w:t>http://publication.pravo.go</w:t>
      </w:r>
      <w:r>
        <w:t>v.ru/document/0001202603070009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6. ФАС разъяснила подход к дроблению закупок у единственного поставщика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ФАС России указала, что неоднократное приобретение одноименных товаров у единственного поставщика при соблюдении лимитов само по себе не является нарушением. Вместе с тем искусственное дробление закупки в целях обхода конкурентной процедуры может привести к ограничению конкуренции.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Письмо ФАС России от 10.02.2026 № ГР/9863/26 — </w:t>
      </w:r>
      <w:r w:rsidRPr="002E3F35">
        <w:t>https://gkgz.ru/wp-content/uploads/2026/02/preview-12-1.p</w:t>
      </w:r>
      <w:r>
        <w:t>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7. Разъяснен порядок заключения контрактов с единственным поставщиком по статье 93 Закона № 44-ФЗ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Минфин России разъяснил случаи использования ЕИС при заключении контракта с единственным поставщиком, а также применение части 65.1 статьи 112 Закона № 44-ФЗ, допускающей изменение существенных условий контракта при наличии независящих от сторон обстоятельств.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Письмо Минфина России от 29.01.2026 № 24-06-06/6210 — </w:t>
      </w:r>
      <w:r w:rsidRPr="002E3F35">
        <w:t>https://ivo.garant.ru/#/do</w:t>
      </w:r>
      <w:r>
        <w:t>cument/413779492/paragraph/1:0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8. Утверждены правила маркировки мясной продукции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Правительство Российской Федерации утвердило правила маркировки мясных изделий, упакованных в потребительскую упаковку, средствами идентификации. Также внесены изменения в правила маркировки отдельных видов бакалейной и иной пищевой продукции.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Постановление Правительства Российской Федерации от 28.02.2026 № 205 — </w:t>
      </w:r>
      <w:r w:rsidRPr="002E3F35">
        <w:t>http://publication.pravo.gov.ru/document/000120260228</w:t>
      </w:r>
      <w:r>
        <w:t>0002?ysclid=mmn22h724842551519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9. Изменен порядок уведомления СРО о заключенных договорах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Уточнен порядок уведомления саморегулируемых организаций о договорах, заключенных членами СРО с использованием конкурентных способов.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Документ: Приказ Минстроя России от 03.02.2026 № 59/</w:t>
      </w:r>
      <w:proofErr w:type="spellStart"/>
      <w:r>
        <w:t>пр</w:t>
      </w:r>
      <w:proofErr w:type="spellEnd"/>
      <w:r>
        <w:t xml:space="preserve"> — </w:t>
      </w:r>
      <w:r w:rsidRPr="002E3F35">
        <w:t>http://publication.pravo.go</w:t>
      </w:r>
      <w:r>
        <w:t>v.ru/document/0001202603110003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10. Опубликовано совместное письмо ФАС России и Банка России по вопросам страхования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ФАС России и Банк России выпустили информационное письмо о взаимодействии кредитных и страховых организаций, а также об информировании заемщиков о соответствии договора страхования требованиям кредитной организации.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Письмо ФАС России и Банка России от 20.02.2026 № АТ/13934/ИН-018-59/4 — </w:t>
      </w:r>
      <w:r w:rsidRPr="002E3F35">
        <w:t>https://fas.gov.ru/attachm</w:t>
      </w:r>
      <w:r>
        <w:t>ent/867676/download?1772092475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11. Изменено положение о закупках для капитального ремонта многоквартирных домов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Изменения предусматривают возможность заключения соглашений между субъектами Российской Федерации о предоставлении территории для создания, модернизации и освоения производства товара в целях исполнения встречных инвестиционных обязательств. Также предусмотрен пересчет цены за единицу товара и изменение цены договора поставки.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Документ: Постановление Правительства Российской Федерации от 13.03.2026 № 267 — </w:t>
      </w:r>
      <w:r w:rsidRPr="002E3F35">
        <w:t>http://publication.pravo.go</w:t>
      </w:r>
      <w:r>
        <w:t>v.ru/document/0001202603130018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12. Расширен перечень продукции для единого каталога конкретных товаров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В перечень продукции, включаемой в эксперимент по ведению единого каталога конкретных товаров для закупок малого объема, добавлены безалкогольные напитки, игры и игрушки, товары для творчества и учебные устройства.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Распоряжение</w:t>
      </w:r>
      <w:r>
        <w:t xml:space="preserve"> Правительства Российской Федерации от 13.03.2026 № 496-р — </w:t>
      </w:r>
      <w:r w:rsidRPr="002E3F35">
        <w:t>http://publication.pravo.gov.ru/document/0001202603130032?index</w:t>
      </w:r>
      <w:r>
        <w:t>=1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13. Разъяснены особенности описания объекта закупки на строительные работы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Минфин России пояснил, какую информацию о товаре, поставляемом заказчику при выполнении строительных работ, необходимо указывать в извещении, если к нему приложена проектная документация.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Письмо</w:t>
      </w:r>
      <w:r>
        <w:t xml:space="preserve"> Минфина России от 11.03.2026 № 24-06-09/19233 — </w:t>
      </w:r>
      <w:r w:rsidRPr="002E3F35">
        <w:t>https://gkgz.ru/wp-content/uploads/2026/03/Minfin-pro-postavlyae</w:t>
      </w:r>
      <w:r>
        <w:t>mye-tovary_.pdf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14. Минпромторг разъяснил вопросы отчетности по постановлению № 719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Минпромторг России разъяснил порядок представления через ГИСП отчетности о произведенной и отгруженной продукции, а также указал случаи, когда такая отчетность за 2025 год не требуется.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Письмо</w:t>
      </w:r>
      <w:r>
        <w:t xml:space="preserve"> Минпромторга России от 11.03.2026 № 23984/12 — </w:t>
      </w:r>
      <w:r w:rsidRPr="002E3F35">
        <w:t>https://www.consultant.ru</w:t>
      </w:r>
      <w:r>
        <w:t>/document/cons_doc_LAW_528625/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15. Подтверждение пригодности новых строительных материалов возможно техническим свидетельством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Минстрой России подтвердил, что в 2026 году пригодность для применения в строительстве новых материалов, изделий, конструкций и технологий может подтверждаться техническим свидетельством.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Приказ</w:t>
      </w:r>
      <w:r>
        <w:t xml:space="preserve"> Минстроя России от 05.02.2026 № 62/</w:t>
      </w:r>
      <w:proofErr w:type="spellStart"/>
      <w:r>
        <w:t>пр</w:t>
      </w:r>
      <w:proofErr w:type="spellEnd"/>
      <w:r>
        <w:t xml:space="preserve"> — </w:t>
      </w:r>
      <w:r w:rsidRPr="002E3F35">
        <w:t>http://publication.pravo.go</w:t>
      </w:r>
      <w:r>
        <w:t>v.ru/document/0001202603160016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lastRenderedPageBreak/>
        <w:t>16. Разъяснены правила обоснования НМЦК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Минфин России подтвердил, что иные методы определения НМЦК применяются только при невозможности использования основных методов, при этом такая невозможность должна быть отдельно обоснована.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Письмо</w:t>
      </w:r>
      <w:r>
        <w:t xml:space="preserve"> Минфина России от 19.03.2026 № 24-06-09/22239 — </w:t>
      </w:r>
      <w:r w:rsidRPr="002E3F35">
        <w:t>https://gkgz.ru/wp-content/uploads/2026/03/Minfin_obosnovanie_nevozmozhnosti_primeneni</w:t>
      </w:r>
      <w:r>
        <w:t>ya_sposobov_obosnovaniyam_.pdf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17. Разъяснены документы для подтверждения опыта по Постановлению № 2571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Минстрой России отметил, что перечень документов, подтверждающих приемку результата выполненных работ, не является исчерпывающим, если представленный документ подтверждает факт приемки заказчиком результата работ.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Письмо</w:t>
      </w:r>
      <w:r>
        <w:t xml:space="preserve"> Минстроя России от 13.03.2026 № 13623-АВ/09 — </w:t>
      </w:r>
      <w:r w:rsidRPr="002E3F35">
        <w:t>https://gkgz.ru/wp-content/uploads/2026/03/minstroj-po-aktam-priemki-dlya-podtverzhdeniya-soot</w:t>
      </w:r>
      <w:r>
        <w:t>vetstviya-doptrebovaniyam_.pdf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18. Изменен перечень объектов, допустимых в национальных парках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Внесены изменения в перечень объектов капитального строительства и инфраструктуры, допустимых при осуществлении рекреационной деятельности в национальных парках.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Распоряжение</w:t>
      </w:r>
      <w:r>
        <w:t xml:space="preserve"> Правительства Российской Федерации от 20.03.2026 № 582-р — </w:t>
      </w:r>
      <w:r w:rsidRPr="002E3F35">
        <w:t>http://publication.pravo.gov.ru/doc</w:t>
      </w:r>
      <w:r>
        <w:t>ument/0001202603200038?index=1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19. ФАС обозначила переходный период по рекламе в </w:t>
      </w:r>
      <w:proofErr w:type="spellStart"/>
      <w:r>
        <w:t>Telegram</w:t>
      </w:r>
      <w:proofErr w:type="spellEnd"/>
      <w:r>
        <w:t xml:space="preserve"> и </w:t>
      </w:r>
      <w:proofErr w:type="spellStart"/>
      <w:r>
        <w:t>YouTube</w:t>
      </w:r>
      <w:proofErr w:type="spellEnd"/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ФАС России указала на необходимость переходного периода до конца 2026 года в части применения ответственности за распространение рекламы на указанных ресурсах.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Разъяснения</w:t>
      </w:r>
      <w:r>
        <w:t xml:space="preserve"> ФАС России — </w:t>
      </w:r>
      <w:r w:rsidRPr="002E3F35">
        <w:t>https://www.consultant.ru</w:t>
      </w:r>
      <w:r>
        <w:t>/document/cons_doc_LAW_529901/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20. Определен единственный исполнитель для </w:t>
      </w:r>
      <w:proofErr w:type="spellStart"/>
      <w:r>
        <w:t>Минпросвещения</w:t>
      </w:r>
      <w:proofErr w:type="spellEnd"/>
      <w:r>
        <w:t xml:space="preserve"> России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Правительство Российской Федерации определило единственного исполнителя по ряду закупок </w:t>
      </w:r>
      <w:proofErr w:type="spellStart"/>
      <w:r>
        <w:t>Минпросвещения</w:t>
      </w:r>
      <w:proofErr w:type="spellEnd"/>
      <w:r>
        <w:t xml:space="preserve"> России в 2026 году в сфере информационно-технологического сопровождения государственных информационных систем.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Распоряжение</w:t>
      </w:r>
      <w:r>
        <w:t xml:space="preserve"> Правительства Российской Федерации от 19.03.2026 № 551-р — </w:t>
      </w:r>
      <w:r w:rsidRPr="002E3F35">
        <w:t>http://publication.pravo.go</w:t>
      </w:r>
      <w:r>
        <w:t>v.ru/document/0001202603200050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21. Изменен перечень продукции, подлежащей обязательной сертификации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Правительство Российской Федерации внесло изменения в перечень продукции, подлежащей обязательной сертификации.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Правительства Российской Федерации от 24.03.2026 № 311 — </w:t>
      </w:r>
      <w:r w:rsidRPr="002E3F35">
        <w:t>http://publication.pravo.gov.ru/doc</w:t>
      </w:r>
      <w:r>
        <w:t>ument/0001202603240022?index=1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22. Утверждены правила формирования перечня стратегически значимых лекарственных средств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Правительство Российской Федерации утвердило правила формирования перечня стратегически значимых лекарственных средств, производство которых будет осуществляться с государственной поддержкой, а сами препараты получат приоритет при госзакупках.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Правительства Российской Федерации от 17.03.2026 № 277 — </w:t>
      </w:r>
      <w:r w:rsidRPr="002E3F35">
        <w:t>http://static.government.ru/media/files/jwzKEV</w:t>
      </w:r>
      <w:r>
        <w:t>Kikc4Yg2ZSrrnbRsQtg7VgVgQy.pdf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23. Разъяснен порядок применения индексов и нормативов при изменении проекта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Минстрой России разъяснил подход к применению сметных нормативов и индексов при корректировке сметной документации и при проведении повторной государственной экспертизы.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Письмо</w:t>
      </w:r>
      <w:r>
        <w:t xml:space="preserve"> Минстроя России от 24.02.2026 № 4024-ОГ/09 — </w:t>
      </w:r>
      <w:r w:rsidRPr="002E3F35">
        <w:t>https://www.consultant.ru</w:t>
      </w:r>
      <w:r>
        <w:t>/document/cons_doc_LAW_529219/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24. Утвержден новый порядок представления ориентировочной цены единицы продукции по ГОЗ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Установлены новые порядок, сроки и формат представления единственным поставщиком информации о размере сформированной ориентировочной цены единицы продукции по государственному оборонному заказу.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Приказ</w:t>
      </w:r>
      <w:r>
        <w:t xml:space="preserve"> Министра обороны Российской Федерации от 26.01.2026 № 33 — </w:t>
      </w:r>
      <w:r w:rsidRPr="002E3F35">
        <w:t>http://publication.pravo.go</w:t>
      </w:r>
      <w:r>
        <w:t>v.ru/document/0001202603250035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25. Расширен экспериментальный правовой режим для высокоавтоматизированного транспорта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Экспериментальный правовой режим по предоставлению транспортных услуг с использованием высокоавтоматизированных транспортных средств распространен на новые регионы.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Правительства Российской Федерации от 30.03.2026 № 347 — </w:t>
      </w:r>
      <w:r w:rsidRPr="002E3F35">
        <w:t>http://publication.pravo.gov.ru/doc</w:t>
      </w:r>
      <w:r>
        <w:t>ument/0001202603310007?index=1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26. Утверждена стратегия противодействия незаконному обороту промышленной продукции до 2030 года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Правительство Российской Федерации утвердило стратегию по противодействию незаконному обороту промышленной продукции и план мероприятий по ее реализации.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Распоряжение</w:t>
      </w:r>
      <w:r>
        <w:t xml:space="preserve"> Правительства Российской Федерации от 28.03.2026 № 645-р — </w:t>
      </w:r>
      <w:r w:rsidRPr="002E3F35">
        <w:t>http://publication.pravo.gov.ru/doc</w:t>
      </w:r>
      <w:r>
        <w:t>ument/0001202603310003?index=1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27. Минфин разъяснил сроки заключения «цифрового контракта» с единственным поставщиком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Минфин России пояснил порядок заключения контракта с единственным поставщиком с учетом специальных норм статьи 93 Закона № 44-ФЗ.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Письмо</w:t>
      </w:r>
      <w:r>
        <w:t xml:space="preserve"> Минфина России от 26.03.2026 № 24-06-06/24862 — </w:t>
      </w:r>
      <w:r w:rsidRPr="002E3F35">
        <w:t>https://gkgz.ru/wp-content/uplo</w:t>
      </w:r>
      <w:r>
        <w:t>ads/2026/03/tsifr-kontakt_.pdf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</w:p>
    <w:p w:rsidR="002E3F35" w:rsidRDefault="002E3F35" w:rsidP="002E3F35">
      <w:pPr>
        <w:jc w:val="both"/>
      </w:pPr>
    </w:p>
    <w:p w:rsidR="002E3F35" w:rsidRPr="00F31423" w:rsidRDefault="002E3F35" w:rsidP="002E3F35">
      <w:pPr>
        <w:jc w:val="both"/>
        <w:rPr>
          <w:b/>
        </w:rPr>
      </w:pPr>
      <w:r w:rsidRPr="00F31423">
        <w:rPr>
          <w:b/>
        </w:rPr>
        <w:t>II. Обзор судебной практики по закупочному законодательству в марте 2026 года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1. По Закону № 223-ФЗ допустимо требовать документы об оплате для подтверждения опыта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подтвердил правомерность требования о представлении документов, подтверждающих оплату по договору, для проверки фактического опыта участника закупки.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Московского округа от 27.02.2026 по делу № А40-30241/2025 — </w:t>
      </w:r>
      <w:r w:rsidRPr="002E3F35">
        <w:t>https://kad.arbitr.ru/Document/Pdf/fb4fc892-2fa6-45fc-ab96-8bc104581e5c/e8f43744-9d73-4ee2-89ce-ff044ec92f00/A40-30241-2025_20260227_Reshenija_i_post</w:t>
      </w:r>
      <w:r>
        <w:t>anovlenija.pdf?isAddStamp=True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2. Недостоверное указание товарного знака является основанием для отказа в допуске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признал правомерным отказ в допуске участнику, указавшему недостоверные сведения о товарном знаке.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</w:t>
      </w:r>
      <w:proofErr w:type="spellStart"/>
      <w:r w:rsidR="00F31423">
        <w:t>СевероКавказского</w:t>
      </w:r>
      <w:proofErr w:type="spellEnd"/>
      <w:r>
        <w:t xml:space="preserve"> округа от 11.03.2026 по делу № А63-26243/2024 — </w:t>
      </w:r>
      <w:r w:rsidRPr="002E3F35">
        <w:t>https://kad.arbitr.ru/Document/Pdf/6c257908-f43b-4fa1-86fa-341f216c0749/a9df1a9f-a4ed-475c-956c-b94efedec644/A63-26243-2024_20260311_Postanovlenie_kassacionnoj</w:t>
      </w:r>
      <w:r>
        <w:t>_instancii.pdf?isAddStamp=True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3. Московское УФАС опубликовало обзор правоприменительной практики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В обзор вошли наиболее показательные решения и судебные акты по антимонопольному законодательству, рекламе, закупкам и административной ответственности.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Обзор</w:t>
      </w:r>
      <w:r>
        <w:t xml:space="preserve"> правоприменительной практики Московского УФАС за 2025 год — </w:t>
      </w:r>
      <w:r w:rsidRPr="00F31423">
        <w:t>https://moscow.fas.gov.ru/sites/moscow.f.isfb.ru/files/news/2026/03/11/2025_obzor_pravoprimenitelnoy_prakti</w:t>
      </w:r>
      <w:r w:rsidR="00F31423">
        <w:t>ki_moskovskogo_ufas_rossii.pdf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4. Отрицательное заключение госэкспертизы подтвердило правомерность отказа от контракта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Суды подтвердили, что отрицательное заключение государственной экспертизы может служить основанием для одностороннего отказа заказчика от исполнения контракта.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Документы:   </w:t>
      </w:r>
    </w:p>
    <w:p w:rsidR="002E3F35" w:rsidRDefault="002E3F35" w:rsidP="002E3F35">
      <w:pPr>
        <w:jc w:val="both"/>
      </w:pPr>
      <w:r>
        <w:t xml:space="preserve">Постановление АС Московского округа от 16.12.2025 по делу № А40-244740/2024 — </w:t>
      </w:r>
      <w:r w:rsidRPr="00F31423">
        <w:t>https://kad.arbitr.ru/Document/Pdf/c5d8d426-171c-44aa-9f69-e52d0600d630/84767d75-51ba-4275-b80b-77a021f2ed5c/A40-244740-2024_20251216_Reshenija_i_post</w:t>
      </w:r>
      <w:r w:rsidR="00F31423">
        <w:t>anovlenija.pdf?isAddStamp=True</w:t>
      </w:r>
    </w:p>
    <w:p w:rsidR="002E3F35" w:rsidRDefault="002E3F35" w:rsidP="002E3F35">
      <w:pPr>
        <w:jc w:val="both"/>
      </w:pPr>
      <w:r>
        <w:lastRenderedPageBreak/>
        <w:t xml:space="preserve">Определение Верховного Суда РФ от 23.03.2026 № 305-ЭС26-1730 — </w:t>
      </w:r>
      <w:r w:rsidRPr="00F31423">
        <w:t>https://kad.arbitr.ru/Document/Pdf/c5d8d426-171c-44aa-9f69-e52d0600d630/01117d3c-294a-4778-ba7b-36eb5e5d79b6/A40-244740-2024_20260323_Opredelenie.p</w:t>
      </w:r>
      <w:r w:rsidR="00F31423">
        <w:t>df?isAddStamp=True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5. Технические проблемы при подписании контракта не всегда ведут к РНП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</w:t>
      </w:r>
      <w:proofErr w:type="spellStart"/>
      <w:r>
        <w:t>неподписание</w:t>
      </w:r>
      <w:proofErr w:type="spellEnd"/>
      <w:r>
        <w:t xml:space="preserve"> государственного контракта по техническим причинам само по себе не образует безусловного основания для включения сведений об участнике в РНП.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Западно-Сибирского округа от 23.03.2026 по делу № А67-6520/2025 — </w:t>
      </w:r>
      <w:r w:rsidRPr="00F31423">
        <w:t>https://kad.arbitr.ru/Document/Pdf/affa5de9-ce75-47ee-8fda-fbc661917add/2d9f1a2f-2546-4f11-84a8-6fdc5581300a/A67-6520-2025_20260323_Postanovlenie_kassacionnoj_inst</w:t>
      </w:r>
      <w:r w:rsidR="00F31423">
        <w:t>ancii.pdf?isAddStamp=True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6. Контракт без обязательного обеспечения признан ничтожным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контракт, заключенный по итогам электронного аукциона без внесения обязательного обеспечения исполнения, является ничтожной сделкой.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Уральского округа от 11.03.2026 по делу № А60-20964/2025 — </w:t>
      </w:r>
      <w:r w:rsidRPr="00F31423">
        <w:t>https://kad.arbitr.ru/Document/Pdf/90f236d5-ff4b-4956-a034-5330598e5992/cb53291b-185f-4228-a243-989ac09a2395/A60-20964-2025_20260311_Reshenija_i_post</w:t>
      </w:r>
      <w:r w:rsidR="00F31423">
        <w:t>anovlenija.pdf?isAddStamp=True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7. Опыт поставки модульных спортивных сооружений может учитываться как специальный квалификационный опыт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признал, что принятие к оценке исполненного контракта или договора на поставку модульных спортивных сооружений не ограничивает конкуренцию и позволяет выявить лучшее условие исполнения контракта.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Западно-Сибирского округа от 13.03.2026 по делу № А70-7128/2025 — </w:t>
      </w:r>
      <w:r w:rsidRPr="00F31423">
        <w:t>https://kad.arbitr.ru/Document/Pdf/635f9389-4984-4f32-9d10-a97b29f9c61c/d65da666-34af-4458-9c46-230dd67f1a28/A70-7128-2025_20260313_Postanovlenie_kassacionnoj</w:t>
      </w:r>
      <w:r w:rsidR="00F31423">
        <w:t>_instancii.pdf?isAddStamp=True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8. При единой закупке изысканий и проектирования можно требовать членство в двух СРО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подтвердил, что при проведении единой закупки работ по инженерным изысканиям и подготовке проектной документации допустимо устанавливать требование о членстве участника одновременно в двух СРО.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Западно-Сибирского округа от 16.03.2026 по делу № А67-5233/2025 — ссылка на судебный акт приведена в исходном документе, но в доступном фрагменте файла URL обрезан.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9. Подрядчик вправе взыскать стоимость неподходящих материалов при недостоверной проектной документации заказчика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при ненадлежащем исполнении заказчиком обязательств по предоставлению достоверной проектной документации подрядчик вправе требовать </w:t>
      </w:r>
      <w:r>
        <w:lastRenderedPageBreak/>
        <w:t xml:space="preserve">возмещения стоимости материалов, приобретенных для выполнения работ и оказавшихся неподходящими.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Центрального округа от 05.03.2026 по делу № А08-10714/2024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10. Сведения из сервиса «Прозрачный бизнес» не подтверждают недостоверность данных о численности сотрудников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отметил, что сведения о среднесписочной численности работников из сервиса «Прозрачный бизнес» сами по себе не подтверждают недостоверность сведений участника закупки.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Северо-Западного округа от 16.03.2026 по делу № А56-113214/2024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11. Указание нескольких стран происхождения товара не является основанием для отклонения заявки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разъяснил, что указание нескольких вариантов товара и разных стран происхождения по одной позиции не образует самостоятельного основания для отклонения заявки.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8ААС от 06.03.2026 по делу № А46-17930/2025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12. По Закону № 223-ФЗ заказчик не вправе отказаться от заключения договора с единственным оставшимся участником без предусмотренных оснований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при отсутствии законных оснований заказчик обязан заключить договор с единственным участником, оставшимся после оценки заявок.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Решение</w:t>
      </w:r>
      <w:r>
        <w:t xml:space="preserve"> АС Нижегородской области от 04.02.2026 по делу № А43-29481/2025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13. Соглашение о расторжении контракта сразу после его заключения может быть признано ничтожным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разъяснил, что такое соглашение может быть признано недействительным, если оно фактически освобождает подрядчика от исполнения обязательств и нарушает публичные интересы.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Центрального округа от 18.02.2026 по делу № А68-15660/2024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14. Односторонний отказ от контракта не всегда означает включение подрядчика в РНП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Верховный Суд РФ поддержал вывод о том, что нарушение сроков исполнения контракта не всегда означает недобросовестность подрядчика и не образует безусловного основания для включения в РНП.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lastRenderedPageBreak/>
        <w:t xml:space="preserve"> </w:t>
      </w:r>
      <w:r w:rsidR="00F31423">
        <w:t>Документ: Определение</w:t>
      </w:r>
      <w:r>
        <w:t xml:space="preserve"> Верховного Суда РФ от 04.03.2026 № 302-ЭС26-398 по делу № А19-2491/2025; Постановление АС Восточно-Сибирского округа от 19.11.2025 по делу № А19-2491/2025 — ссылки на документы в доступном фрагменте файла не отображены.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15. Верховный Суд поддержал ФАС в деле против компании «</w:t>
      </w:r>
      <w:proofErr w:type="spellStart"/>
      <w:r>
        <w:t>АксельФарм</w:t>
      </w:r>
      <w:proofErr w:type="spellEnd"/>
      <w:r>
        <w:t>»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ФАС России сообщила, что Верховный Суд поддержал ее позицию в деле о нарушении антимонопольного законодательства при введении в оборот дженерика лекарственного препарата, защищенного патентом.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Информация</w:t>
      </w:r>
      <w:r>
        <w:t xml:space="preserve"> ФАС России по делу ООО «</w:t>
      </w:r>
      <w:proofErr w:type="spellStart"/>
      <w:r>
        <w:t>АксельФарм</w:t>
      </w:r>
      <w:proofErr w:type="spellEnd"/>
      <w:r>
        <w:t xml:space="preserve">»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16. Обзор практики ФАС России по нарушениям Закона № 223-ФЗ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В обзоре приведены типовые нарушения при проведении закупок по Закону № 223-ФЗ и подходы к их правовой оценке.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Обзор</w:t>
      </w:r>
      <w:r>
        <w:t xml:space="preserve"> практики ФАС России по нарушениям Закона № 223-ФЗ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17. Опыт ремонта и содержания автомобильной дороги не тождественен опыту благоустройства территории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опыт по иной позиции приложения к Постановлению № 2571 не может подтверждать соответствие дополнительным требованиям по спорной закупке.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Западно-Сибирского округа от 03.03.2026 по делу № А75-14240/2024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18. Описание объекта закупки под одного производителя нарушает Закон № 44-ФЗ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установление характеристик товара, которым фактически соответствует продукция единственного производителя, нарушает законодательство о контрактной системе.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Решение</w:t>
      </w:r>
      <w:r>
        <w:t xml:space="preserve"> АС Челябинской области от 02.03.2026 по делу № А76-34151/2025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19. По Закону № 223-ФЗ страна происхождения товара должна подтверждаться документально, если это прямо требует документация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Суд указал, что при наличии прямого требования документации заказчик обязан проверять документальное подтверждение страны происхождения товара.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Московского округа от 16.03.2026 по делу № А40-126712/2025 — ссылка на документ в доступном фрагменте файла не отображена.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>20. После 25.12.2023 региональные основания закупки у единственного поставщика по части 2 статьи 15 Закона № 46-ФЗ не применяются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lastRenderedPageBreak/>
        <w:t xml:space="preserve">Суд указал, что после указанной даты заказчики субъектов Российской Федерации и муниципальных образований не вправе осуществлять закупки у единственного поставщика на основании случаев и порядка, установленных региональными актами в прежнем порядке.  </w:t>
      </w:r>
    </w:p>
    <w:p w:rsidR="002E3F35" w:rsidRDefault="002E3F35" w:rsidP="002E3F35">
      <w:pPr>
        <w:jc w:val="both"/>
      </w:pPr>
    </w:p>
    <w:p w:rsidR="002E3F35" w:rsidRDefault="002E3F35" w:rsidP="002E3F35">
      <w:pPr>
        <w:jc w:val="both"/>
      </w:pPr>
      <w:r>
        <w:t xml:space="preserve"> </w:t>
      </w:r>
      <w:r w:rsidR="00F31423">
        <w:t>Документ: Постановление</w:t>
      </w:r>
      <w:r>
        <w:t xml:space="preserve"> АС Северо-Западного округа от 11.11.2025 по делу № А42-6487/2024; Определение Верховного Суда РФ от 26.02.2026 № 307-ЭС26-288 — ссылки на документы в доступном фрагменте файла не отображены.  </w:t>
      </w:r>
    </w:p>
    <w:p w:rsidR="006F0304" w:rsidRDefault="006F0304" w:rsidP="002E3F35">
      <w:pPr>
        <w:jc w:val="both"/>
      </w:pPr>
    </w:p>
    <w:sectPr w:rsidR="006F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35"/>
    <w:rsid w:val="002E3F35"/>
    <w:rsid w:val="006F0304"/>
    <w:rsid w:val="00F31423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F3957-27AE-43FA-92DB-EA14881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3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A18-23C5-4018-8462-4FA8C8FB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Обаляева</dc:creator>
  <cp:keywords/>
  <dc:description/>
  <cp:lastModifiedBy>u1579</cp:lastModifiedBy>
  <cp:revision>2</cp:revision>
  <dcterms:created xsi:type="dcterms:W3CDTF">2026-04-01T10:57:00Z</dcterms:created>
  <dcterms:modified xsi:type="dcterms:W3CDTF">2026-04-01T10:57:00Z</dcterms:modified>
</cp:coreProperties>
</file>