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29.05.2023 N 194-ФЗ</w:t>
              <w:br/>
              <w:t xml:space="preserve">(ред. от 26.02.2024)</w:t>
              <w:br/>
              <w:t xml:space="preserve">"О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мая 2023 года</w:t>
            </w:r>
          </w:p>
        </w:tc>
        <w:tc>
          <w:tcPr>
            <w:tcW w:w="5103" w:type="dxa"/>
            <w:tcBorders>
              <w:top w:val="nil"/>
              <w:left w:val="nil"/>
              <w:bottom w:val="nil"/>
              <w:right w:val="nil"/>
            </w:tcBorders>
          </w:tcPr>
          <w:p>
            <w:pPr>
              <w:pStyle w:val="0"/>
              <w:jc w:val="right"/>
            </w:pPr>
            <w:r>
              <w:rPr>
                <w:sz w:val="24"/>
              </w:rPr>
              <w:t xml:space="preserve">N 194-ФЗ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ФЕДЕРАЛЬНЫЙ ЗАКОН "О ЛИЦЕНЗИРОВАНИИ ОТДЕЛЬНЫХ</w:t>
      </w:r>
    </w:p>
    <w:p>
      <w:pPr>
        <w:pStyle w:val="2"/>
        <w:jc w:val="center"/>
      </w:pPr>
      <w:r>
        <w:rPr>
          <w:sz w:val="24"/>
        </w:rPr>
        <w:t xml:space="preserve">ВИДОВ ДЕЯТЕЛЬНОСТИ" И СТАТЬЮ 44 ФЕДЕРАЛЬНОГО ЗАКОНА</w:t>
      </w:r>
    </w:p>
    <w:p>
      <w:pPr>
        <w:pStyle w:val="2"/>
        <w:jc w:val="center"/>
      </w:pPr>
      <w:r>
        <w:rPr>
          <w:sz w:val="24"/>
        </w:rPr>
        <w:t xml:space="preserve">"О САНИТАРНО-ЭПИДЕМИОЛОГИЧЕСКОМ БЛАГОПОЛУЧИИ НАСЕЛЕНИЯ"</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17 мая 2023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мая 2023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Федерального </w:t>
            </w:r>
            <w:hyperlink w:history="0" r:id="rId8"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color w:val="392c69"/>
              </w:rPr>
              <w:t xml:space="preserve"> от 26.02.2024 N 22-ФЗ)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Федеральный </w:t>
      </w:r>
      <w:hyperlink w:history="0" r:id="rId9"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закон</w:t>
        </w:r>
      </w:hyperlink>
      <w:r>
        <w:rPr>
          <w:sz w:val="24"/>
        </w:rPr>
        <w:t xml:space="preserve"> от 4 мая 2011 года N 99-ФЗ "О лицензировании отдельных видов деятельности" (Собрание законодательства Российской Федерации, 2011, N 19, ст. 2716; 2012, N 26, ст. 3446; N 31, ст. 4322; 2013, N 9, ст. 874; N 27, ст. 3477; 2014, N 30, ст. 4256; N 42, ст. 5615; 2015, N 1, ст. 11; N 29, ст. 4342; N 44, ст. 6047; 2016, N 1, ст. 51; 2018, N 31, ст. 4838; N 32, ст. 5116; N 45, ст. 6841; N 53, ст. 8424; 2019, N 16, ст. 1817; N 25, ст. 3168; N 31, ст. 4441, 4457; N 52, ст. 7796; 2020, N 8, ст. 915; N 31, ст. 5029; 2021, N 18, ст. 3072; N 22, ст. 3691; N 24, ст. 4188; N 27, ст. 5177; N 50, ст. 8410; 2022, N 1, ст. 59; N 29, ст. 5235; N 45, ст. 7672; 2023, N 1, ст. 54; N 18, ст. 3247) следующие изменения:</w:t>
      </w:r>
    </w:p>
    <w:p>
      <w:pPr>
        <w:pStyle w:val="0"/>
        <w:spacing w:before="240" w:lineRule="auto"/>
        <w:ind w:firstLine="540"/>
        <w:jc w:val="both"/>
      </w:pPr>
      <w:r>
        <w:rPr>
          <w:sz w:val="24"/>
        </w:rPr>
        <w:t xml:space="preserve">1) </w:t>
      </w:r>
      <w:hyperlink w:history="0" r:id="rId10"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часть 1 статьи 12</w:t>
        </w:r>
      </w:hyperlink>
      <w:r>
        <w:rPr>
          <w:sz w:val="24"/>
        </w:rPr>
        <w:t xml:space="preserve"> дополнить пунктом 59 следующего содержания:</w:t>
      </w:r>
    </w:p>
    <w:p>
      <w:pPr>
        <w:pStyle w:val="0"/>
        <w:spacing w:before="240" w:lineRule="auto"/>
        <w:ind w:firstLine="540"/>
        <w:jc w:val="both"/>
      </w:pPr>
      <w:r>
        <w:rPr>
          <w:sz w:val="24"/>
        </w:rPr>
        <w:t xml:space="preserve">"59) деятельность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spacing w:before="240" w:lineRule="auto"/>
        <w:ind w:firstLine="540"/>
        <w:jc w:val="both"/>
      </w:pPr>
      <w:r>
        <w:rPr>
          <w:sz w:val="24"/>
        </w:rPr>
        <w:t xml:space="preserve">2) в </w:t>
      </w:r>
      <w:hyperlink w:history="0" r:id="rId11"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статье 19.2</w:t>
        </w:r>
      </w:hyperlink>
      <w:r>
        <w:rPr>
          <w:sz w:val="24"/>
        </w:rPr>
        <w:t xml:space="preserve">:</w:t>
      </w:r>
    </w:p>
    <w:p>
      <w:pPr>
        <w:pStyle w:val="0"/>
        <w:spacing w:before="240" w:lineRule="auto"/>
        <w:ind w:firstLine="540"/>
        <w:jc w:val="both"/>
      </w:pPr>
      <w:r>
        <w:rPr>
          <w:sz w:val="24"/>
        </w:rPr>
        <w:t xml:space="preserve">а) в </w:t>
      </w:r>
      <w:hyperlink w:history="0" r:id="rId12"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части 4</w:t>
        </w:r>
      </w:hyperlink>
      <w:r>
        <w:rPr>
          <w:sz w:val="24"/>
        </w:rPr>
        <w:t xml:space="preserve"> слова "и 58" заменить словами ", 58 и 59";</w:t>
      </w:r>
    </w:p>
    <w:p>
      <w:pPr>
        <w:pStyle w:val="0"/>
        <w:spacing w:before="240" w:lineRule="auto"/>
        <w:ind w:firstLine="540"/>
        <w:jc w:val="both"/>
      </w:pPr>
      <w:r>
        <w:rPr>
          <w:sz w:val="24"/>
        </w:rPr>
        <w:t xml:space="preserve">б) </w:t>
      </w:r>
      <w:hyperlink w:history="0" r:id="rId13"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часть 5</w:t>
        </w:r>
      </w:hyperlink>
      <w:r>
        <w:rPr>
          <w:sz w:val="24"/>
        </w:rPr>
        <w:t xml:space="preserve"> дополнить пунктом 22 следующего содержания:</w:t>
      </w:r>
    </w:p>
    <w:p>
      <w:pPr>
        <w:pStyle w:val="0"/>
        <w:spacing w:before="240" w:lineRule="auto"/>
        <w:ind w:firstLine="540"/>
        <w:jc w:val="both"/>
      </w:pPr>
      <w:r>
        <w:rPr>
          <w:sz w:val="24"/>
        </w:rPr>
        <w:t xml:space="preserve">"22) федеральный государственный лицензионный контроль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spacing w:before="240" w:lineRule="auto"/>
        <w:ind w:firstLine="540"/>
        <w:jc w:val="both"/>
      </w:pPr>
      <w:r>
        <w:rPr>
          <w:sz w:val="24"/>
        </w:rPr>
        <w:t xml:space="preserve">3) в </w:t>
      </w:r>
      <w:hyperlink w:history="0" r:id="rId14" w:tooltip="Федеральный закон от 04.05.2011 N 99-ФЗ (ред. от 08.08.2024) &quot;О лицензировании отдельных видов деятельности&quot; ------------ Недействующая редакция {КонсультантПлюс}">
        <w:r>
          <w:rPr>
            <w:sz w:val="24"/>
            <w:color w:val="0000ff"/>
          </w:rPr>
          <w:t xml:space="preserve">части 1 статьи 19.3</w:t>
        </w:r>
      </w:hyperlink>
      <w:r>
        <w:rPr>
          <w:sz w:val="24"/>
        </w:rPr>
        <w:t xml:space="preserve"> слова "и 48" заменить словами ", 48 и 59".</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 </w:t>
            </w:r>
            <w:hyperlink w:history="0" w:anchor="P44" w:tooltip="2. Статья 2 настоящего Федерального закона вступает в силу с 1 марта 2025 года.">
              <w:r>
                <w:rPr>
                  <w:sz w:val="24"/>
                  <w:color w:val="0000ff"/>
                </w:rPr>
                <w:t xml:space="preserve">вступает</w:t>
              </w:r>
            </w:hyperlink>
            <w:r>
              <w:rPr>
                <w:sz w:val="24"/>
                <w:color w:val="392c69"/>
              </w:rPr>
              <w:t xml:space="preserve"> в силу с 01.03.2025.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 w:name="P36"/>
    <w:bookmarkEnd w:id="36"/>
    <w:p>
      <w:pPr>
        <w:pStyle w:val="2"/>
        <w:spacing w:before="300" w:lineRule="auto"/>
        <w:outlineLvl w:val="0"/>
        <w:ind w:firstLine="540"/>
        <w:jc w:val="both"/>
      </w:pPr>
      <w:r>
        <w:rPr>
          <w:sz w:val="24"/>
        </w:rPr>
        <w:t xml:space="preserve">Статья 2</w:t>
      </w:r>
    </w:p>
    <w:p>
      <w:pPr>
        <w:pStyle w:val="0"/>
        <w:ind w:firstLine="540"/>
        <w:jc w:val="both"/>
      </w:pPr>
      <w:r>
        <w:rPr>
          <w:sz w:val="24"/>
        </w:rPr>
      </w:r>
    </w:p>
    <w:p>
      <w:pPr>
        <w:pStyle w:val="0"/>
        <w:ind w:firstLine="540"/>
        <w:jc w:val="both"/>
      </w:pPr>
      <w:hyperlink w:history="0" r:id="rId15" w:tooltip="Федеральный закон от 30.03.1999 N 52-ФЗ (ред. от 26.12.2024) &quot;О санитарно-эпидемиологическом благополучии населения&quot; ------------ Недействующая редакция {КонсультантПлюс}">
        <w:r>
          <w:rPr>
            <w:sz w:val="24"/>
            <w:color w:val="0000ff"/>
          </w:rPr>
          <w:t xml:space="preserve">Абзац первый пункта 2 статьи 44</w:t>
        </w:r>
      </w:hyperlink>
      <w:r>
        <w:rPr>
          <w:sz w:val="24"/>
        </w:rPr>
        <w:t xml:space="preserve"> Федерального закона от 30 марта 1999 года N 52-ФЗ "О санитарно-эпидемиологическом благополучии населения" (Собрание законодательства Российской Федерации, 1999, N 14, ст. 1650; 2021, N 24, ст. 4188) после слов "контроля (надзора)" дополнить словами ", за исключением обязательных требований, оценка соблюдения которых осуществляется в рамках федерального государственного лицензионного контроля (надзора)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сентября 2024 года, за исключением </w:t>
      </w:r>
      <w:hyperlink w:history="0" w:anchor="P36" w:tooltip="Статья 2">
        <w:r>
          <w:rPr>
            <w:sz w:val="24"/>
            <w:color w:val="0000ff"/>
          </w:rPr>
          <w:t xml:space="preserve">статьи 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6"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bookmarkStart w:id="44" w:name="P44"/>
    <w:bookmarkEnd w:id="44"/>
    <w:p>
      <w:pPr>
        <w:pStyle w:val="0"/>
        <w:spacing w:before="240" w:lineRule="auto"/>
        <w:ind w:firstLine="540"/>
        <w:jc w:val="both"/>
      </w:pPr>
      <w:r>
        <w:rPr>
          <w:sz w:val="24"/>
        </w:rPr>
        <w:t xml:space="preserve">2. </w:t>
      </w:r>
      <w:hyperlink w:history="0" w:anchor="P36" w:tooltip="Статья 2">
        <w:r>
          <w:rPr>
            <w:sz w:val="24"/>
            <w:color w:val="0000ff"/>
          </w:rPr>
          <w:t xml:space="preserve">Статья 2</w:t>
        </w:r>
      </w:hyperlink>
      <w:r>
        <w:rPr>
          <w:sz w:val="24"/>
        </w:rPr>
        <w:t xml:space="preserve"> настоящего Федерального закона вступает в силу с 1 марта 2025 года.</w:t>
      </w:r>
    </w:p>
    <w:p>
      <w:pPr>
        <w:pStyle w:val="0"/>
        <w:jc w:val="both"/>
      </w:pPr>
      <w:r>
        <w:rPr>
          <w:sz w:val="24"/>
        </w:rPr>
        <w:t xml:space="preserve">(в ред. Федерального </w:t>
      </w:r>
      <w:hyperlink w:history="0" r:id="rId17"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p>
      <w:pPr>
        <w:pStyle w:val="0"/>
        <w:spacing w:before="240" w:lineRule="auto"/>
        <w:ind w:firstLine="540"/>
        <w:jc w:val="both"/>
      </w:pPr>
      <w:r>
        <w:rPr>
          <w:sz w:val="24"/>
        </w:rPr>
        <w:t xml:space="preserve">3. Юридические лица и индивидуальные предприниматели, осуществляющие деятельность по оказанию услуг по дезинфекции, дезинсекции и дератизации в целях обеспечения санитарно-эпидемиологического благополучия населения, обязаны получить лицензию на осуществление указанной деятельности не позднее 1 марта 2025 года.</w:t>
      </w:r>
    </w:p>
    <w:p>
      <w:pPr>
        <w:pStyle w:val="0"/>
        <w:jc w:val="both"/>
      </w:pPr>
      <w:r>
        <w:rPr>
          <w:sz w:val="24"/>
        </w:rPr>
        <w:t xml:space="preserve">(в ред. Федерального </w:t>
      </w:r>
      <w:hyperlink w:history="0" r:id="rId18"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p>
      <w:pPr>
        <w:pStyle w:val="0"/>
        <w:spacing w:before="240" w:lineRule="auto"/>
        <w:ind w:firstLine="540"/>
        <w:jc w:val="both"/>
      </w:pPr>
      <w:r>
        <w:rPr>
          <w:sz w:val="24"/>
        </w:rPr>
        <w:t xml:space="preserve">4. С 1 марта 2025 года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без лицензии не допускается.</w:t>
      </w:r>
    </w:p>
    <w:p>
      <w:pPr>
        <w:pStyle w:val="0"/>
        <w:jc w:val="both"/>
      </w:pPr>
      <w:r>
        <w:rPr>
          <w:sz w:val="24"/>
        </w:rPr>
        <w:t xml:space="preserve">(в ред. Федерального </w:t>
      </w:r>
      <w:hyperlink w:history="0" r:id="rId19"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bookmarkStart w:id="50" w:name="P50"/>
    <w:bookmarkEnd w:id="50"/>
    <w:p>
      <w:pPr>
        <w:pStyle w:val="0"/>
        <w:spacing w:before="240" w:lineRule="auto"/>
        <w:ind w:firstLine="540"/>
        <w:jc w:val="both"/>
      </w:pPr>
      <w:r>
        <w:rPr>
          <w:sz w:val="24"/>
        </w:rPr>
        <w:t xml:space="preserve">5. По заявлению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поданному в лицензирующий орган с 1 сентября 2024 года до 1 января 2025 года, в отношении соискателя лицензии выездная оценка соответствия лицензионным требованиям не проводится в случае принятия лицензирующим органом решения о проведении такой оценки в сроки, установленные </w:t>
      </w:r>
      <w:hyperlink w:history="0" w:anchor="P52" w:tooltip="6. В отношении лицензиата, который получил лицензию в соответствии с частью 5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
        <w:r>
          <w:rPr>
            <w:sz w:val="24"/>
            <w:color w:val="0000ff"/>
          </w:rPr>
          <w:t xml:space="preserve">частью 6</w:t>
        </w:r>
      </w:hyperlink>
      <w:r>
        <w:rPr>
          <w:sz w:val="24"/>
        </w:rPr>
        <w:t xml:space="preserve"> настоящей статьи.</w:t>
      </w:r>
    </w:p>
    <w:p>
      <w:pPr>
        <w:pStyle w:val="0"/>
        <w:jc w:val="both"/>
      </w:pPr>
      <w:r>
        <w:rPr>
          <w:sz w:val="24"/>
        </w:rPr>
        <w:t xml:space="preserve">(в ред. Федерального </w:t>
      </w:r>
      <w:hyperlink w:history="0" r:id="rId20"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bookmarkStart w:id="52" w:name="P52"/>
    <w:bookmarkEnd w:id="52"/>
    <w:p>
      <w:pPr>
        <w:pStyle w:val="0"/>
        <w:spacing w:before="240" w:lineRule="auto"/>
        <w:ind w:firstLine="540"/>
        <w:jc w:val="both"/>
      </w:pPr>
      <w:r>
        <w:rPr>
          <w:sz w:val="24"/>
        </w:rPr>
        <w:t xml:space="preserve">6. В отношении лицензиата, который получил лицензию в соответствии с </w:t>
      </w:r>
      <w:hyperlink w:history="0" w:anchor="P50" w:tooltip="5. По заявлению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поданному в лицензирующий орган с 1 сентября 2024 года до 1 января 2025 года, в отношении соискателя лицензии выездная оценка соответствия лицензионным требованиям не проводится в случае принятия лицензирующим органом решения о проведении такой оценки в сроки, установленные частью 6 настоящей статьи.">
        <w:r>
          <w:rPr>
            <w:sz w:val="24"/>
            <w:color w:val="0000ff"/>
          </w:rPr>
          <w:t xml:space="preserve">частью 5</w:t>
        </w:r>
      </w:hyperlink>
      <w:r>
        <w:rPr>
          <w:sz w:val="24"/>
        </w:rPr>
        <w:t xml:space="preserve">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но не позднее 1 февраля 2025 года по правилам, предусмотренным </w:t>
      </w:r>
      <w:hyperlink w:history="0" r:id="rId2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частями 5</w:t>
        </w:r>
      </w:hyperlink>
      <w:r>
        <w:rPr>
          <w:sz w:val="24"/>
        </w:rPr>
        <w:t xml:space="preserve"> - </w:t>
      </w:r>
      <w:hyperlink w:history="0" r:id="rId2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14 статьи 19.1</w:t>
        </w:r>
      </w:hyperlink>
      <w:r>
        <w:rPr>
          <w:sz w:val="24"/>
        </w:rPr>
        <w:t xml:space="preserve"> Федерального закона от 4 мая 2011 года N 99-ФЗ "О лицензировании отдельных видов деятельности". Проведение такой оценки не требует подачи лицензиатом отдельного заявления и осуществляется на основании решения лицензирующего органа.</w:t>
      </w:r>
    </w:p>
    <w:p>
      <w:pPr>
        <w:pStyle w:val="0"/>
        <w:jc w:val="both"/>
      </w:pPr>
      <w:r>
        <w:rPr>
          <w:sz w:val="24"/>
        </w:rPr>
        <w:t xml:space="preserve">(в ред. Федерального </w:t>
      </w:r>
      <w:hyperlink w:history="0" r:id="rId23"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bookmarkStart w:id="54" w:name="P54"/>
    <w:bookmarkEnd w:id="54"/>
    <w:p>
      <w:pPr>
        <w:pStyle w:val="0"/>
        <w:spacing w:before="240" w:lineRule="auto"/>
        <w:ind w:firstLine="540"/>
        <w:jc w:val="both"/>
      </w:pPr>
      <w:r>
        <w:rPr>
          <w:sz w:val="24"/>
        </w:rPr>
        <w:t xml:space="preserve">7. В случае, если в ходе проведения в соответствии с </w:t>
      </w:r>
      <w:hyperlink w:history="0" w:anchor="P52" w:tooltip="6. В отношении лицензиата, который получил лицензию в соответствии с частью 5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
        <w:r>
          <w:rPr>
            <w:sz w:val="24"/>
            <w:color w:val="0000ff"/>
          </w:rPr>
          <w:t xml:space="preserve">частью 6</w:t>
        </w:r>
      </w:hyperlink>
      <w:r>
        <w:rPr>
          <w:sz w:val="24"/>
        </w:rPr>
        <w:t xml:space="preserve"> настоящей статьи оценки соответствия лицензиата лицензионным требованиям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по оказанию услуг по дезинфекции, дезинсекции и дератизации в целях обеспечения санитарно-эпидемиологического благополучия населения,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pPr>
        <w:pStyle w:val="0"/>
        <w:spacing w:before="240" w:lineRule="auto"/>
        <w:ind w:firstLine="540"/>
        <w:jc w:val="both"/>
      </w:pPr>
      <w:r>
        <w:rPr>
          <w:sz w:val="24"/>
        </w:rPr>
        <w:t xml:space="preserve">8. В срок, предусмотренный указанным в </w:t>
      </w:r>
      <w:hyperlink w:history="0" w:anchor="P54" w:tooltip="7. В случае, если в ходе проведения в соответствии с частью 6 настоящей статьи оценки соответствия лицензиата лицензионным требованиям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по оказанию услуг по дезинфекции, дезинсекции и дератизации в целях обеспечения санитарно-эпидемиологического благополучия населения, лицензирующий орган направляет лицензиату уведомление о необходимости устранения груб...">
        <w:r>
          <w:rPr>
            <w:sz w:val="24"/>
            <w:color w:val="0000ff"/>
          </w:rPr>
          <w:t xml:space="preserve">части 7</w:t>
        </w:r>
      </w:hyperlink>
      <w:r>
        <w:rPr>
          <w:sz w:val="24"/>
        </w:rPr>
        <w:t xml:space="preserve"> настоящей статьи уведомлением, лицензиат обязан устранить выявленные нарушения и уведомить об этом лицензирующий орган. Лицензирующий орган осуществляет оценку устранения лицензиатом выявленных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pPr>
        <w:pStyle w:val="0"/>
        <w:spacing w:before="240" w:lineRule="auto"/>
        <w:ind w:firstLine="540"/>
        <w:jc w:val="both"/>
      </w:pPr>
      <w:r>
        <w:rPr>
          <w:sz w:val="24"/>
        </w:rPr>
        <w:t xml:space="preserve">9. В случае, если лицензиатом в установленный срок не были устранены грубые нарушения лицензионных требований, выявленные лицензирующим органом в ходе проводимой в соответствии с </w:t>
      </w:r>
      <w:hyperlink w:history="0" w:anchor="P52" w:tooltip="6. В отношении лицензиата, который получил лицензию в соответствии с частью 5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
        <w:r>
          <w:rPr>
            <w:sz w:val="24"/>
            <w:color w:val="0000ff"/>
          </w:rPr>
          <w:t xml:space="preserve">частью 6</w:t>
        </w:r>
      </w:hyperlink>
      <w:r>
        <w:rPr>
          <w:sz w:val="24"/>
        </w:rPr>
        <w:t xml:space="preserve"> настоящей статьи выездной оценки соответствия лицензионным требованиям, лицензия такого лицензиата может быть приостановлена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 Действие лицензии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 Лицензирующий орган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ходе проведения выездной оценки соответствия лицензиата лицензионным требованиям.</w:t>
      </w:r>
    </w:p>
    <w:p>
      <w:pPr>
        <w:pStyle w:val="0"/>
        <w:spacing w:before="240" w:lineRule="auto"/>
        <w:ind w:firstLine="540"/>
        <w:jc w:val="both"/>
      </w:pPr>
      <w:r>
        <w:rPr>
          <w:sz w:val="24"/>
        </w:rPr>
        <w:t xml:space="preserve">10. В отношении лицензиата, которому лицензия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была предоставлена по заявлению, поданному в период с 1 сентября 2024 года до 1 января 2025 года, отсчет срока для прохождения первичной процедуры периодического подтверждения соответствия осуществляется со дня, следующего за днем оформления акта выездной оценки, проведенной в соответствии с </w:t>
      </w:r>
      <w:hyperlink w:history="0" w:anchor="P52" w:tooltip="6. В отношении лицензиата, который получил лицензию в соответствии с частью 5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
        <w:r>
          <w:rPr>
            <w:sz w:val="24"/>
            <w:color w:val="0000ff"/>
          </w:rPr>
          <w:t xml:space="preserve">частью 6</w:t>
        </w:r>
      </w:hyperlink>
      <w:r>
        <w:rPr>
          <w:sz w:val="24"/>
        </w:rPr>
        <w:t xml:space="preserve"> настоящей статьи.</w:t>
      </w:r>
    </w:p>
    <w:p>
      <w:pPr>
        <w:pStyle w:val="0"/>
        <w:jc w:val="both"/>
      </w:pPr>
      <w:r>
        <w:rPr>
          <w:sz w:val="24"/>
        </w:rPr>
        <w:t xml:space="preserve">(в ред. Федерального </w:t>
      </w:r>
      <w:hyperlink w:history="0" r:id="rId24" w:tooltip="Федеральный закон от 26.02.2024 N 22-ФЗ &quot;О внесении изменений в статью 3 Федерального закона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26.02.2024 N 22-ФЗ)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29 мая 2023 года</w:t>
      </w:r>
    </w:p>
    <w:p>
      <w:pPr>
        <w:pStyle w:val="0"/>
        <w:spacing w:before="240" w:lineRule="auto"/>
      </w:pPr>
      <w:r>
        <w:rPr>
          <w:sz w:val="24"/>
        </w:rPr>
        <w:t xml:space="preserve">N 194-ФЗ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29.05.2023 N 194-ФЗ</w:t>
            <w:br/>
            <w:t>(ред. от 26.02.2024)</w:t>
            <w:br/>
            <w:t>"О внесении изменений в Федеральный закон "О лицензировани...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70590&amp;date=17.08.2026&amp;dst=100009&amp;field=134" TargetMode = "External"/><Relationship Id="rId9" Type="http://schemas.openxmlformats.org/officeDocument/2006/relationships/hyperlink" Target="https://login.consultant.ru/link/?req=doc&amp;base=LAW&amp;n=482726&amp;date=17.08.2026" TargetMode = "External"/><Relationship Id="rId10" Type="http://schemas.openxmlformats.org/officeDocument/2006/relationships/hyperlink" Target="https://login.consultant.ru/link/?req=doc&amp;base=LAW&amp;n=482726&amp;date=17.08.2026&amp;dst=100100&amp;field=134" TargetMode = "External"/><Relationship Id="rId11" Type="http://schemas.openxmlformats.org/officeDocument/2006/relationships/hyperlink" Target="https://login.consultant.ru/link/?req=doc&amp;base=LAW&amp;n=482726&amp;date=17.08.2026&amp;dst=304&amp;field=134" TargetMode = "External"/><Relationship Id="rId12" Type="http://schemas.openxmlformats.org/officeDocument/2006/relationships/hyperlink" Target="https://login.consultant.ru/link/?req=doc&amp;base=LAW&amp;n=482726&amp;date=17.08.2026&amp;dst=422&amp;field=134" TargetMode = "External"/><Relationship Id="rId13" Type="http://schemas.openxmlformats.org/officeDocument/2006/relationships/hyperlink" Target="https://login.consultant.ru/link/?req=doc&amp;base=LAW&amp;n=482726&amp;date=17.08.2026&amp;dst=309&amp;field=134" TargetMode = "External"/><Relationship Id="rId14" Type="http://schemas.openxmlformats.org/officeDocument/2006/relationships/hyperlink" Target="https://login.consultant.ru/link/?req=doc&amp;base=LAW&amp;n=482726&amp;date=17.08.2026&amp;dst=338&amp;field=134" TargetMode = "External"/><Relationship Id="rId15" Type="http://schemas.openxmlformats.org/officeDocument/2006/relationships/hyperlink" Target="https://login.consultant.ru/link/?req=doc&amp;base=LAW&amp;n=494620&amp;date=17.08.2026&amp;dst=289&amp;field=134" TargetMode = "External"/><Relationship Id="rId16" Type="http://schemas.openxmlformats.org/officeDocument/2006/relationships/hyperlink" Target="https://login.consultant.ru/link/?req=doc&amp;base=LAW&amp;n=470590&amp;date=17.08.2026&amp;dst=100010&amp;field=134" TargetMode = "External"/><Relationship Id="rId17" Type="http://schemas.openxmlformats.org/officeDocument/2006/relationships/hyperlink" Target="https://login.consultant.ru/link/?req=doc&amp;base=LAW&amp;n=470590&amp;date=17.08.2026&amp;dst=100011&amp;field=134" TargetMode = "External"/><Relationship Id="rId18" Type="http://schemas.openxmlformats.org/officeDocument/2006/relationships/hyperlink" Target="https://login.consultant.ru/link/?req=doc&amp;base=LAW&amp;n=470590&amp;date=17.08.2026&amp;dst=100012&amp;field=134" TargetMode = "External"/><Relationship Id="rId19" Type="http://schemas.openxmlformats.org/officeDocument/2006/relationships/hyperlink" Target="https://login.consultant.ru/link/?req=doc&amp;base=LAW&amp;n=470590&amp;date=17.08.2026&amp;dst=100013&amp;field=134" TargetMode = "External"/><Relationship Id="rId20" Type="http://schemas.openxmlformats.org/officeDocument/2006/relationships/hyperlink" Target="https://login.consultant.ru/link/?req=doc&amp;base=LAW&amp;n=470590&amp;date=17.08.2026&amp;dst=100014&amp;field=134" TargetMode = "External"/><Relationship Id="rId21" Type="http://schemas.openxmlformats.org/officeDocument/2006/relationships/hyperlink" Target="https://login.consultant.ru/link/?req=doc&amp;base=LAW&amp;n=541280&amp;date=17.08.2026&amp;dst=291&amp;field=134" TargetMode = "External"/><Relationship Id="rId22" Type="http://schemas.openxmlformats.org/officeDocument/2006/relationships/hyperlink" Target="https://login.consultant.ru/link/?req=doc&amp;base=LAW&amp;n=541280&amp;date=17.08.2026&amp;dst=300&amp;field=134" TargetMode = "External"/><Relationship Id="rId23" Type="http://schemas.openxmlformats.org/officeDocument/2006/relationships/hyperlink" Target="https://login.consultant.ru/link/?req=doc&amp;base=LAW&amp;n=470590&amp;date=17.08.2026&amp;dst=100015&amp;field=134" TargetMode = "External"/><Relationship Id="rId24" Type="http://schemas.openxmlformats.org/officeDocument/2006/relationships/hyperlink" Target="https://login.consultant.ru/link/?req=doc&amp;base=LAW&amp;n=470590&amp;date=17.08.2026&amp;dst=10001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29.05.2023 N 194-ФЗ
(ред. от 26.02.2024)
"О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dc:title>
  <dcterms:created xsi:type="dcterms:W3CDTF">2026-08-17T07:26:03Z</dcterms:created>
</cp:coreProperties>
</file>