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3A" w:rsidRDefault="009C553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C553A" w:rsidRDefault="009C553A">
      <w:pPr>
        <w:pStyle w:val="ConsPlusNormal"/>
        <w:jc w:val="both"/>
        <w:outlineLvl w:val="0"/>
      </w:pPr>
    </w:p>
    <w:p w:rsidR="009C553A" w:rsidRDefault="009C553A">
      <w:pPr>
        <w:pStyle w:val="ConsPlusTitle"/>
        <w:jc w:val="center"/>
      </w:pPr>
      <w:r>
        <w:t>МИНИСТЕРСТВО ФИНАНСОВ РОССИЙСКОЙ ФЕДЕРАЦИИ</w:t>
      </w:r>
    </w:p>
    <w:p w:rsidR="009C553A" w:rsidRDefault="009C553A">
      <w:pPr>
        <w:pStyle w:val="ConsPlusTitle"/>
        <w:jc w:val="center"/>
      </w:pPr>
    </w:p>
    <w:p w:rsidR="009C553A" w:rsidRDefault="009C553A">
      <w:pPr>
        <w:pStyle w:val="ConsPlusTitle"/>
        <w:jc w:val="center"/>
      </w:pPr>
      <w:r>
        <w:t>ПИСЬМО</w:t>
      </w:r>
    </w:p>
    <w:p w:rsidR="009C553A" w:rsidRDefault="009C553A">
      <w:pPr>
        <w:pStyle w:val="ConsPlusTitle"/>
        <w:jc w:val="center"/>
      </w:pPr>
      <w:r>
        <w:t>от 17 февраля 2021 г. N 02-05-10/10752</w:t>
      </w:r>
    </w:p>
    <w:p w:rsidR="009C553A" w:rsidRDefault="009C553A">
      <w:pPr>
        <w:pStyle w:val="ConsPlusNormal"/>
        <w:jc w:val="both"/>
      </w:pPr>
    </w:p>
    <w:p w:rsidR="009C553A" w:rsidRDefault="009C553A">
      <w:pPr>
        <w:pStyle w:val="ConsPlusNormal"/>
        <w:ind w:firstLine="540"/>
        <w:jc w:val="both"/>
      </w:pPr>
      <w:r>
        <w:t xml:space="preserve">Министерство финансов Российской Федерации в целях единообразного применения вида расходов </w:t>
      </w:r>
      <w:hyperlink r:id="rId5" w:history="1">
        <w:r>
          <w:rPr>
            <w:color w:val="0000FF"/>
          </w:rPr>
          <w:t>247</w:t>
        </w:r>
      </w:hyperlink>
      <w:r>
        <w:t xml:space="preserve"> "Закупка энергетических ресурсов" классификации расходов бюджетов сообщает.</w:t>
      </w:r>
    </w:p>
    <w:p w:rsidR="009C553A" w:rsidRDefault="009C553A">
      <w:pPr>
        <w:pStyle w:val="ConsPlusNormal"/>
        <w:spacing w:before="280"/>
        <w:ind w:firstLine="540"/>
        <w:jc w:val="both"/>
      </w:pPr>
      <w:hyperlink r:id="rId6" w:history="1">
        <w:r>
          <w:rPr>
            <w:color w:val="0000FF"/>
          </w:rPr>
          <w:t>Порядком</w:t>
        </w:r>
      </w:hyperlink>
      <w:r>
        <w:t xml:space="preserve">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6 июня 2019 г. N 85н (далее - Порядок N 85н), в редакции, применяемой при исполнении бюджетов бюджетной системы Российской Федерации в 2021 году, предусмотрен вид расходов </w:t>
      </w:r>
      <w:hyperlink r:id="rId7" w:history="1">
        <w:r>
          <w:rPr>
            <w:color w:val="0000FF"/>
          </w:rPr>
          <w:t>247</w:t>
        </w:r>
      </w:hyperlink>
      <w:r>
        <w:t xml:space="preserve"> "Закупка энергетических ресурсов" (далее - ВР 247).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 xml:space="preserve">Согласно описанию </w:t>
      </w:r>
      <w:hyperlink r:id="rId8" w:history="1">
        <w:r>
          <w:rPr>
            <w:color w:val="0000FF"/>
          </w:rPr>
          <w:t>ВР 247</w:t>
        </w:r>
      </w:hyperlink>
      <w:r>
        <w:t>, приведенному в Порядке N 85н, данный вид расходов предназначен для отражения расходов на оплату: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- потребленных энергетических и (или) коммунальных ресурсов в рамках договоров поставки электроэнергии, газа, теплоснабжения, включая оплату просроченной задолженности за указанные потребленные энергетические и (или) коммунальные ресурсы;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- услуг транспортировки указанных энергетических и (или) коммунальных ресурсов по газораспределительным и электрическим и теплосетям (при ее наличии).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 xml:space="preserve">Применяя </w:t>
      </w:r>
      <w:hyperlink r:id="rId9" w:history="1">
        <w:r>
          <w:rPr>
            <w:color w:val="0000FF"/>
          </w:rPr>
          <w:t>ВР 247</w:t>
        </w:r>
      </w:hyperlink>
      <w:r>
        <w:t>, необходимо учитывать следующее: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 xml:space="preserve">расходы по оплате договоров (контрактов) на поставку энергетических ресурсов (электрической энергии (мощности), тепловой энергии, природного газа), заключаемых с поставщиками коммунальных услуг, включая оплату кредиторской задолженности по ним (при наличии таковой), с 1 января 2021 года следует отражать по </w:t>
      </w:r>
      <w:hyperlink r:id="rId10" w:history="1">
        <w:r>
          <w:rPr>
            <w:color w:val="0000FF"/>
          </w:rPr>
          <w:t>ВР 247</w:t>
        </w:r>
      </w:hyperlink>
      <w:r>
        <w:t xml:space="preserve"> независимо от даты заключения таких договоров (контрактов), даты возникновения кредиторской задолженности по поставленным энергетическим ресурсам;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 xml:space="preserve">расходы на оплату договоров (контрактов) с теплоснабжающими организациями, предусматривающих подачу (поставку) тепловой энергии и (или) теплоносителя, используемого для передачи тепловой энергии для отопления, отражаются по </w:t>
      </w:r>
      <w:hyperlink r:id="rId11" w:history="1">
        <w:r>
          <w:rPr>
            <w:color w:val="0000FF"/>
          </w:rPr>
          <w:t>ВР 247</w:t>
        </w:r>
      </w:hyperlink>
      <w:r>
        <w:t>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lastRenderedPageBreak/>
        <w:t xml:space="preserve">Учитывая, что в описании </w:t>
      </w:r>
      <w:hyperlink r:id="rId12" w:history="1">
        <w:r>
          <w:rPr>
            <w:color w:val="0000FF"/>
          </w:rPr>
          <w:t>ВР 247</w:t>
        </w:r>
      </w:hyperlink>
      <w:r>
        <w:t xml:space="preserve"> приведен закрытый перечень видов энергетических и (или) коммунальных ресурсов, для отражения по </w:t>
      </w:r>
      <w:hyperlink r:id="rId13" w:history="1">
        <w:r>
          <w:rPr>
            <w:color w:val="0000FF"/>
          </w:rPr>
          <w:t>ВР 247</w:t>
        </w:r>
      </w:hyperlink>
      <w:r>
        <w:t xml:space="preserve"> иных расходов, не перечисленных в описании (далее для целей настоящего письма - Иные расходы), нет оснований.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К числу Иных расходов относятся расходы на: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оплату энергетических и (или) коммунальных ресурсов, приобретаемых (потребляемых) зарубежными аппаратами, представительствами, иными обособленными подразделениями государственных органов, учреждениями, воинскими формированиями, осуществляющими возложенные на них функции за пределами территории Российской Федерации;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оплату счетов за пользование коммунальными услугами, выставляемых управляющими компаниями организациям - собственникам помещений в многоквартирных домах, а также за содержание общего имущества многоквартирного дома, включая набор потребляемых для этих целей коммунальных услуг;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оплату арендаторами (ссудополучателями) счетов, выставляемых арендодателями (ссудодателями) в возмещение стоимости коммунальных услуг, в части, направленной на обеспечение переданных в аренду (безвозмездное пользование) объектов, а также возмещение арендодателям (ссудодателям), располагающим собственной котельной, затрат на отопление, содержание котельной и иных затрат, предусмотренных договором аренды (безвозмездного пользования);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оплату энергосервисных договоров (контрактов);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оплату всех видов топлива (природного газа в баллонах, дизельного топлива, мазута, угля, дров и т.п.), кроме природного газа, поставляемого по газораспределительным сетям;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оплату услуг сезонных истопников, кочегаров;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оплату за водоснабжение (поставку горячей и холодной воды).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 xml:space="preserve">Вышеперечисленные Иные расходы следует отражать по виду расходов </w:t>
      </w:r>
      <w:hyperlink r:id="rId14" w:history="1">
        <w:r>
          <w:rPr>
            <w:color w:val="0000FF"/>
          </w:rPr>
          <w:t>244</w:t>
        </w:r>
      </w:hyperlink>
      <w:r>
        <w:t xml:space="preserve"> "Прочая закупка товаров, работ и услуг" классификации расходов бюджетов.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 xml:space="preserve">В целях недопущения возникновения спорных ситуаций при отражении расходов на водоснабжение в условиях наличия открытых систем горячего водоснабжения &lt;1&gt;, а также применения двухкомпонентных тарифов &lt;2&gt; необходимо учитывать, что описанием </w:t>
      </w:r>
      <w:hyperlink r:id="rId15" w:history="1">
        <w:r>
          <w:rPr>
            <w:color w:val="0000FF"/>
          </w:rPr>
          <w:t>ВР 247</w:t>
        </w:r>
      </w:hyperlink>
      <w:r>
        <w:t xml:space="preserve"> водоснабжение не предусмотрено.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lastRenderedPageBreak/>
        <w:t>--------------------------------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 xml:space="preserve">&lt;1&gt; Согласно </w:t>
      </w:r>
      <w:hyperlink r:id="rId16" w:history="1">
        <w:r>
          <w:rPr>
            <w:color w:val="0000FF"/>
          </w:rPr>
          <w:t>подпункту 19.1 статьи 2</w:t>
        </w:r>
      </w:hyperlink>
      <w:r>
        <w:t xml:space="preserve"> Федерального закона от 27 июля 2010 г. N 190-ФЗ "О теплоснабжении" открытая система теплоснабжения (горячего водоснабжения) - технологически связанный комплекс инженерных сооружений, предназначенный для теплоснабжения и горячего водоснабжения путем отбора горячей воды из тепловой сети.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>&lt;2&gt; Компонент 1 - холодная вода (кубометры), компонент 2 - тепловая энергия, затраченная на нагрев холодной воды (Гкал/ч).</w:t>
      </w:r>
    </w:p>
    <w:p w:rsidR="009C553A" w:rsidRDefault="009C553A">
      <w:pPr>
        <w:pStyle w:val="ConsPlusNormal"/>
        <w:jc w:val="both"/>
      </w:pPr>
    </w:p>
    <w:p w:rsidR="009C553A" w:rsidRDefault="009C553A">
      <w:pPr>
        <w:pStyle w:val="ConsPlusNormal"/>
        <w:ind w:firstLine="540"/>
        <w:jc w:val="both"/>
      </w:pPr>
      <w:r>
        <w:t xml:space="preserve">В этой связи расходы на водоснабжение, в том числе горячее водоснабжение, осуществляемое в рамках комбинированных договоров (договор на теплоснабжение и поставку воды, договор на теплоснабжение, в рамках которого осуществляется водоснабжение потребителя, иной договор, аналогичный по содержанию), следует отражать по виду расходов </w:t>
      </w:r>
      <w:hyperlink r:id="rId17" w:history="1">
        <w:r>
          <w:rPr>
            <w:color w:val="0000FF"/>
          </w:rPr>
          <w:t>244</w:t>
        </w:r>
      </w:hyperlink>
      <w:r>
        <w:t xml:space="preserve"> "Прочая закупка товаров, работ и услуг".</w:t>
      </w:r>
    </w:p>
    <w:p w:rsidR="009C553A" w:rsidRDefault="009C553A">
      <w:pPr>
        <w:pStyle w:val="ConsPlusNormal"/>
        <w:spacing w:before="280"/>
        <w:ind w:firstLine="540"/>
        <w:jc w:val="both"/>
      </w:pPr>
      <w:r>
        <w:t xml:space="preserve">Поскольку расчет размера платы за поставленную воду осуществляется на основании показаний приборов учета воды, а в случае их отсутствия - по определенным для этого формулам, в счетах на оплату энергетических и (или) коммунальных ресурсов, поставляемых в рамках вышеуказанных комбинированных договоров, суммы, подлежащие уплате за водоснабжение, рассчитанные исходя из потребленных кубометров, либо потребленных кубометров и затрат на нагрев воды, показаны обособленно, что, по мнению Министерства финансов Российской Федерации, в полной мере позволяет соблюсти требования </w:t>
      </w:r>
      <w:hyperlink r:id="rId18" w:history="1">
        <w:r>
          <w:rPr>
            <w:color w:val="0000FF"/>
          </w:rPr>
          <w:t>Порядка</w:t>
        </w:r>
      </w:hyperlink>
      <w:r>
        <w:t xml:space="preserve"> N 85н.</w:t>
      </w:r>
    </w:p>
    <w:p w:rsidR="009C553A" w:rsidRDefault="009C553A">
      <w:pPr>
        <w:pStyle w:val="ConsPlusNormal"/>
        <w:jc w:val="both"/>
      </w:pPr>
    </w:p>
    <w:p w:rsidR="009C553A" w:rsidRDefault="009C553A">
      <w:pPr>
        <w:pStyle w:val="ConsPlusNormal"/>
        <w:jc w:val="right"/>
      </w:pPr>
      <w:r>
        <w:t>А.М.ЛАВРОВ</w:t>
      </w:r>
    </w:p>
    <w:p w:rsidR="009C553A" w:rsidRDefault="009C553A">
      <w:pPr>
        <w:pStyle w:val="ConsPlusNormal"/>
        <w:jc w:val="both"/>
      </w:pPr>
    </w:p>
    <w:p w:rsidR="009C553A" w:rsidRDefault="009C553A">
      <w:pPr>
        <w:pStyle w:val="ConsPlusNormal"/>
        <w:jc w:val="both"/>
      </w:pPr>
    </w:p>
    <w:p w:rsidR="009C553A" w:rsidRDefault="009C55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6102" w:rsidRDefault="00AA6102">
      <w:bookmarkStart w:id="0" w:name="_GoBack"/>
      <w:bookmarkEnd w:id="0"/>
    </w:p>
    <w:sectPr w:rsidR="00AA6102" w:rsidSect="002B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3A"/>
    <w:rsid w:val="009C553A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104B2-19AF-45C5-AA60-EABC4A85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53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C553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C55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94F5B6630488AC44A1E5E8076249D6FF6F4840676871C5DD27530DF3344B3C6E45562BCFF2DE171E9D55921B8AAEC922B3676AE791EZ8V3H" TargetMode="External"/><Relationship Id="rId13" Type="http://schemas.openxmlformats.org/officeDocument/2006/relationships/hyperlink" Target="consultantplus://offline/ref=EE294F5B6630488AC44A1E5E8076249D6FF6F4840676871C5DD27530DF3344B3C6E45562BCFE28E771E9D55921B8AAEC922B3676AE791EZ8V3H" TargetMode="External"/><Relationship Id="rId18" Type="http://schemas.openxmlformats.org/officeDocument/2006/relationships/hyperlink" Target="consultantplus://offline/ref=EE294F5B6630488AC44A1E5E8076249D6FF6F4840676871C5DD27530DF3344B3C6E45562BEFF28E67BB6D04C30E0A6EC8D35356BB27B1C80Z5V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294F5B6630488AC44A1E5E8076249D6FF6F4840676871C5DD27530DF3344B3C6E45562BCFE28E771E9D55921B8AAEC922B3676AE791EZ8V3H" TargetMode="External"/><Relationship Id="rId12" Type="http://schemas.openxmlformats.org/officeDocument/2006/relationships/hyperlink" Target="consultantplus://offline/ref=EE294F5B6630488AC44A1E5E8076249D6FF6F4840676871C5DD27530DF3344B3C6E45562BCFF2DE171E9D55921B8AAEC922B3676AE791EZ8V3H" TargetMode="External"/><Relationship Id="rId17" Type="http://schemas.openxmlformats.org/officeDocument/2006/relationships/hyperlink" Target="consultantplus://offline/ref=EE294F5B6630488AC44A1E5E8076249D6FF6F4840676871C5DD27530DF3344B3C6E45562BDFD2CE27FB6D04C30E0A6EC8D35356BB27B1C80Z5V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294F5B6630488AC44A1E5E8076249D6FF4F080067B871C5DD27530DF3344B3C6E45561BAF47CB63EE8891C75ABABEE9229356AZAVD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294F5B6630488AC44A1E5E8076249D6FF6F4840676871C5DD27530DF3344B3C6E45562BEFF28E67BB6D04C30E0A6EC8D35356BB27B1C80Z5V0H" TargetMode="External"/><Relationship Id="rId11" Type="http://schemas.openxmlformats.org/officeDocument/2006/relationships/hyperlink" Target="consultantplus://offline/ref=EE294F5B6630488AC44A1E5E8076249D6FF6F4840676871C5DD27530DF3344B3C6E45562BCFE28E771E9D55921B8AAEC922B3676AE791EZ8V3H" TargetMode="External"/><Relationship Id="rId5" Type="http://schemas.openxmlformats.org/officeDocument/2006/relationships/hyperlink" Target="consultantplus://offline/ref=EE294F5B6630488AC44A1E5E8076249D6FF6F4840676871C5DD27530DF3344B3C6E45562BCFE28E771E9D55921B8AAEC922B3676AE791EZ8V3H" TargetMode="External"/><Relationship Id="rId15" Type="http://schemas.openxmlformats.org/officeDocument/2006/relationships/hyperlink" Target="consultantplus://offline/ref=EE294F5B6630488AC44A1E5E8076249D6FF6F4840676871C5DD27530DF3344B3C6E45562BCFF2DE171E9D55921B8AAEC922B3676AE791EZ8V3H" TargetMode="External"/><Relationship Id="rId10" Type="http://schemas.openxmlformats.org/officeDocument/2006/relationships/hyperlink" Target="consultantplus://offline/ref=EE294F5B6630488AC44A1E5E8076249D6FF6F4840676871C5DD27530DF3344B3C6E45562BCFE28E771E9D55921B8AAEC922B3676AE791EZ8V3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E294F5B6630488AC44A1E5E8076249D6FF6F4840676871C5DD27530DF3344B3C6E45562BCFE28E771E9D55921B8AAEC922B3676AE791EZ8V3H" TargetMode="External"/><Relationship Id="rId14" Type="http://schemas.openxmlformats.org/officeDocument/2006/relationships/hyperlink" Target="consultantplus://offline/ref=EE294F5B6630488AC44A1E5E8076249D6FF6F4840676871C5DD27530DF3344B3C6E45562BDFD2CE27FB6D04C30E0A6EC8D35356BB27B1C80Z5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2021-03-11T07:21:00Z</dcterms:created>
  <dcterms:modified xsi:type="dcterms:W3CDTF">2021-03-11T07:23:00Z</dcterms:modified>
</cp:coreProperties>
</file>